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7AF" w:rsidRDefault="00D027AF" w:rsidP="00D027AF">
      <w:pPr>
        <w:pStyle w:val="Heading6"/>
        <w:tabs>
          <w:tab w:val="left" w:pos="2880"/>
          <w:tab w:val="left" w:pos="3780"/>
          <w:tab w:val="left" w:pos="7920"/>
        </w:tabs>
        <w:spacing w:after="19"/>
        <w:ind w:left="2880" w:right="2880"/>
        <w:jc w:val="center"/>
        <w:rPr>
          <w:sz w:val="28"/>
        </w:rPr>
      </w:pPr>
      <w:r>
        <w:rPr>
          <w:sz w:val="28"/>
        </w:rPr>
        <w:t>Los Angeles Pierce College</w:t>
      </w:r>
    </w:p>
    <w:p w:rsidR="00D027AF" w:rsidRDefault="00C62B4D" w:rsidP="00D027AF">
      <w:pPr>
        <w:pStyle w:val="Heading6"/>
        <w:tabs>
          <w:tab w:val="left" w:pos="2880"/>
          <w:tab w:val="left" w:pos="3780"/>
          <w:tab w:val="left" w:pos="7920"/>
        </w:tabs>
        <w:spacing w:after="19"/>
        <w:ind w:left="2880" w:right="2880"/>
        <w:jc w:val="center"/>
        <w:rPr>
          <w:sz w:val="28"/>
        </w:rPr>
      </w:pPr>
      <w:r>
        <w:rPr>
          <w:sz w:val="28"/>
        </w:rPr>
        <w:t>Student Equity Plan</w:t>
      </w:r>
      <w:r w:rsidR="00D027AF">
        <w:rPr>
          <w:sz w:val="28"/>
        </w:rPr>
        <w:t xml:space="preserve"> 2019-2022 </w:t>
      </w:r>
      <w:r>
        <w:rPr>
          <w:sz w:val="28"/>
        </w:rPr>
        <w:t xml:space="preserve"> </w:t>
      </w:r>
    </w:p>
    <w:p w:rsidR="00BC3A0F" w:rsidRPr="00C62B4D" w:rsidRDefault="001655FB" w:rsidP="00D027AF">
      <w:pPr>
        <w:pStyle w:val="Heading6"/>
        <w:tabs>
          <w:tab w:val="left" w:pos="3780"/>
        </w:tabs>
        <w:spacing w:after="19"/>
        <w:ind w:left="2880" w:right="2880"/>
        <w:jc w:val="center"/>
        <w:rPr>
          <w:sz w:val="28"/>
        </w:rPr>
      </w:pPr>
      <w:r w:rsidRPr="00C62B4D">
        <w:rPr>
          <w:sz w:val="28"/>
        </w:rPr>
        <w:t>EXECUTIVE SUMMARY</w:t>
      </w:r>
    </w:p>
    <w:p w:rsidR="00BC3A0F" w:rsidRDefault="005338DE">
      <w:pPr>
        <w:pStyle w:val="BodyText"/>
        <w:spacing w:line="20" w:lineRule="exact"/>
        <w:ind w:left="886"/>
        <w:rPr>
          <w:sz w:val="2"/>
        </w:rPr>
      </w:pPr>
      <w:r>
        <w:rPr>
          <w:noProof/>
          <w:sz w:val="2"/>
        </w:rPr>
        <mc:AlternateContent>
          <mc:Choice Requires="wpg">
            <w:drawing>
              <wp:inline distT="0" distB="0" distL="0" distR="0">
                <wp:extent cx="5981065" cy="6350"/>
                <wp:effectExtent l="6985" t="4445" r="12700" b="8255"/>
                <wp:docPr id="85"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6350"/>
                          <a:chOff x="0" y="0"/>
                          <a:chExt cx="9419" cy="10"/>
                        </a:xfrm>
                      </wpg:grpSpPr>
                      <wps:wsp>
                        <wps:cNvPr id="86" name="Line 62"/>
                        <wps:cNvCnPr>
                          <a:cxnSpLocks noChangeShapeType="1"/>
                        </wps:cNvCnPr>
                        <wps:spPr bwMode="auto">
                          <a:xfrm>
                            <a:off x="0" y="5"/>
                            <a:ext cx="94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1C5A65" id="Group 61" o:spid="_x0000_s1026" style="width:470.95pt;height:.5pt;mso-position-horizontal-relative:char;mso-position-vertical-relative:line" coordsize="9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">
                <v:line id="Line 62" o:spid="_x0000_s1027"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w10:anchorlock/>
              </v:group>
            </w:pict>
          </mc:Fallback>
        </mc:AlternateContent>
      </w:r>
    </w:p>
    <w:p w:rsidR="00BC3A0F" w:rsidRDefault="00BC3A0F">
      <w:pPr>
        <w:pStyle w:val="BodyText"/>
        <w:spacing w:before="11"/>
        <w:rPr>
          <w:b/>
          <w:sz w:val="13"/>
        </w:rPr>
      </w:pPr>
    </w:p>
    <w:p w:rsidR="00BC3A0F" w:rsidRPr="00657396" w:rsidRDefault="001655FB" w:rsidP="003569DD">
      <w:pPr>
        <w:pStyle w:val="Heading6"/>
        <w:numPr>
          <w:ilvl w:val="0"/>
          <w:numId w:val="28"/>
        </w:numPr>
      </w:pPr>
      <w:r w:rsidRPr="00B505E7">
        <w:t>Introduction</w:t>
      </w:r>
    </w:p>
    <w:p w:rsidR="00BC3A0F" w:rsidRDefault="00BC3A0F">
      <w:pPr>
        <w:pStyle w:val="BodyText"/>
        <w:rPr>
          <w:b/>
          <w:sz w:val="22"/>
        </w:rPr>
      </w:pPr>
    </w:p>
    <w:p w:rsidR="003233C3" w:rsidRDefault="00BC49FE" w:rsidP="003233C3">
      <w:pPr>
        <w:ind w:left="920" w:right="983"/>
      </w:pPr>
      <w:r>
        <w:t xml:space="preserve">Los Angeles Pierce College has long been committed to establishing an educational community that promotes inclusive excellence and valuing the cultural richness in diversity. </w:t>
      </w:r>
      <w:r w:rsidR="003233C3">
        <w:t>Our mission statement serves as the foundation for programs offered and the services provided to students</w:t>
      </w:r>
      <w:r w:rsidR="005338DE">
        <w:t xml:space="preserve"> and reads</w:t>
      </w:r>
      <w:r w:rsidR="003233C3">
        <w:t xml:space="preserve">: </w:t>
      </w:r>
      <w:r w:rsidR="003233C3">
        <w:rPr>
          <w:i/>
        </w:rPr>
        <w:t xml:space="preserve">“Pierce College is a student-centered learning institution that offers excellent opportunities for access and success in a diverse college community.” </w:t>
      </w:r>
      <w:r w:rsidR="000F0574">
        <w:t xml:space="preserve">This student equity plan follows years of intensive collaborative work at </w:t>
      </w:r>
      <w:r w:rsidR="007F126D">
        <w:t>Pierce College</w:t>
      </w:r>
      <w:r w:rsidR="000F0574">
        <w:t xml:space="preserve"> focused on bridging the achievement gaps in our disproportionately impacted students. </w:t>
      </w:r>
      <w:r w:rsidR="006F3243">
        <w:t xml:space="preserve">For over a decade, </w:t>
      </w:r>
      <w:r w:rsidR="000F0574">
        <w:t xml:space="preserve">Los Angeles Pierce College has been developing, piloting, and scaling success and equity-minded programs, services, and practices that advance our college mission and now integrated goals. Evident through its practices, Pierce College </w:t>
      </w:r>
      <w:r w:rsidR="003233C3">
        <w:t xml:space="preserve">has historically </w:t>
      </w:r>
      <w:r w:rsidR="000F0574">
        <w:t>lived up to its mission</w:t>
      </w:r>
      <w:r w:rsidR="003233C3">
        <w:t xml:space="preserve"> to reach out to and serve traditionally underrepresented college students</w:t>
      </w:r>
      <w:r w:rsidR="000F0574">
        <w:t xml:space="preserve"> as stated in its mission statement:</w:t>
      </w:r>
      <w:r w:rsidR="003233C3">
        <w:t xml:space="preserve"> </w:t>
      </w:r>
      <w:r w:rsidR="003233C3">
        <w:rPr>
          <w:i/>
        </w:rPr>
        <w:t xml:space="preserve">“The college dedicates its resources to assist students in identifying and achieving their educational, career, and personal goals.” </w:t>
      </w:r>
      <w:r w:rsidR="003233C3">
        <w:t xml:space="preserve">The Mission Statement </w:t>
      </w:r>
      <w:r w:rsidR="00D64061">
        <w:t>aligns with the CCCCO’s Vision for Success</w:t>
      </w:r>
      <w:r w:rsidR="007F126D">
        <w:t>’s goal of fully closing achievement gaps within 10 years</w:t>
      </w:r>
      <w:r w:rsidR="00D64061">
        <w:t xml:space="preserve"> and remains</w:t>
      </w:r>
      <w:r w:rsidR="003233C3">
        <w:t xml:space="preserve"> the foundation for the parameters which the college provides for transfer, occupational and basic skills programs as well as student services to diverse populations.</w:t>
      </w:r>
    </w:p>
    <w:p w:rsidR="003344A8" w:rsidRDefault="003344A8" w:rsidP="003344A8">
      <w:pPr>
        <w:ind w:left="920"/>
        <w:rPr>
          <w:b/>
        </w:rPr>
      </w:pPr>
    </w:p>
    <w:p w:rsidR="003344A8" w:rsidRDefault="003344A8" w:rsidP="003344A8">
      <w:pPr>
        <w:ind w:left="920"/>
        <w:rPr>
          <w:b/>
          <w:u w:val="single"/>
        </w:rPr>
      </w:pPr>
    </w:p>
    <w:p w:rsidR="003344A8" w:rsidRPr="003344A8" w:rsidRDefault="003344A8" w:rsidP="003569DD">
      <w:pPr>
        <w:pStyle w:val="Heading6"/>
        <w:numPr>
          <w:ilvl w:val="0"/>
          <w:numId w:val="28"/>
        </w:numPr>
      </w:pPr>
      <w:r w:rsidRPr="003344A8">
        <w:t>Previous Work in Equity</w:t>
      </w:r>
    </w:p>
    <w:p w:rsidR="003344A8" w:rsidRDefault="003344A8" w:rsidP="009022F6">
      <w:pPr>
        <w:spacing w:before="1"/>
        <w:ind w:right="870"/>
      </w:pPr>
    </w:p>
    <w:p w:rsidR="003344A8" w:rsidRDefault="003344A8" w:rsidP="003344A8">
      <w:pPr>
        <w:spacing w:before="1"/>
        <w:ind w:left="920" w:right="870"/>
      </w:pPr>
      <w:r>
        <w:t>The 2014-2017 Student Equity Plan’s overarching goals were to increase rates of success in each area by 5% (or close the gap) for each underserved group within 3 years. Below is a list of each individual goal broken down by area of need:</w:t>
      </w:r>
    </w:p>
    <w:p w:rsidR="003344A8" w:rsidRDefault="003344A8" w:rsidP="003344A8">
      <w:pPr>
        <w:pStyle w:val="BodyText"/>
        <w:spacing w:before="10"/>
        <w:rPr>
          <w:sz w:val="21"/>
        </w:rPr>
      </w:pPr>
    </w:p>
    <w:p w:rsidR="003344A8" w:rsidRDefault="003344A8" w:rsidP="003344A8">
      <w:pPr>
        <w:pStyle w:val="ListParagraph"/>
        <w:numPr>
          <w:ilvl w:val="0"/>
          <w:numId w:val="1"/>
        </w:numPr>
        <w:tabs>
          <w:tab w:val="left" w:pos="1641"/>
        </w:tabs>
      </w:pPr>
      <w:r>
        <w:t>Access</w:t>
      </w:r>
    </w:p>
    <w:p w:rsidR="003344A8" w:rsidRDefault="003344A8" w:rsidP="003344A8">
      <w:pPr>
        <w:pStyle w:val="ListParagraph"/>
        <w:numPr>
          <w:ilvl w:val="1"/>
          <w:numId w:val="1"/>
        </w:numPr>
        <w:tabs>
          <w:tab w:val="left" w:pos="2361"/>
        </w:tabs>
      </w:pPr>
      <w:r>
        <w:t>Increase access by 5% by 2017 for students who are</w:t>
      </w:r>
      <w:r>
        <w:rPr>
          <w:spacing w:val="-8"/>
        </w:rPr>
        <w:t xml:space="preserve"> </w:t>
      </w:r>
      <w:r>
        <w:t>men.</w:t>
      </w:r>
    </w:p>
    <w:p w:rsidR="003344A8" w:rsidRDefault="003344A8" w:rsidP="003344A8">
      <w:pPr>
        <w:pStyle w:val="ListParagraph"/>
        <w:numPr>
          <w:ilvl w:val="1"/>
          <w:numId w:val="1"/>
        </w:numPr>
        <w:tabs>
          <w:tab w:val="left" w:pos="2410"/>
          <w:tab w:val="left" w:pos="2411"/>
        </w:tabs>
        <w:spacing w:before="1"/>
        <w:ind w:right="984"/>
      </w:pPr>
      <w:r>
        <w:tab/>
        <w:t>Maintain no equity gap in access for students who identify as foster youth and students who identify as veterans.</w:t>
      </w:r>
    </w:p>
    <w:p w:rsidR="003344A8" w:rsidRDefault="003344A8" w:rsidP="003344A8">
      <w:pPr>
        <w:pStyle w:val="ListParagraph"/>
        <w:numPr>
          <w:ilvl w:val="0"/>
          <w:numId w:val="1"/>
        </w:numPr>
        <w:tabs>
          <w:tab w:val="left" w:pos="1641"/>
        </w:tabs>
        <w:ind w:left="2000" w:right="1017" w:hanging="720"/>
      </w:pPr>
      <w:r>
        <w:t>Increase course completion by 5% by 2017 for students who are African American/Black and</w:t>
      </w:r>
      <w:r>
        <w:rPr>
          <w:spacing w:val="-27"/>
        </w:rPr>
        <w:t xml:space="preserve"> </w:t>
      </w:r>
      <w:r>
        <w:t>for students who identify as foster</w:t>
      </w:r>
      <w:r>
        <w:rPr>
          <w:spacing w:val="-4"/>
        </w:rPr>
        <w:t xml:space="preserve"> </w:t>
      </w:r>
      <w:r>
        <w:t>youth.</w:t>
      </w:r>
    </w:p>
    <w:p w:rsidR="003344A8" w:rsidRDefault="003344A8" w:rsidP="003344A8">
      <w:pPr>
        <w:pStyle w:val="ListParagraph"/>
        <w:numPr>
          <w:ilvl w:val="0"/>
          <w:numId w:val="1"/>
        </w:numPr>
        <w:tabs>
          <w:tab w:val="left" w:pos="1641"/>
        </w:tabs>
        <w:spacing w:before="1"/>
        <w:ind w:left="2000" w:right="970" w:hanging="720"/>
      </w:pPr>
      <w:r>
        <w:t>Increase basic skills pathway completion by 5% by 2017 for students who are African American/Black in English and math &amp; for students who are Latino in ESL, English, and</w:t>
      </w:r>
      <w:r>
        <w:rPr>
          <w:spacing w:val="-18"/>
        </w:rPr>
        <w:t xml:space="preserve"> </w:t>
      </w:r>
      <w:r>
        <w:t>math.</w:t>
      </w:r>
    </w:p>
    <w:p w:rsidR="003344A8" w:rsidRDefault="003344A8" w:rsidP="003344A8">
      <w:pPr>
        <w:pStyle w:val="ListParagraph"/>
        <w:numPr>
          <w:ilvl w:val="0"/>
          <w:numId w:val="1"/>
        </w:numPr>
        <w:tabs>
          <w:tab w:val="left" w:pos="1641"/>
        </w:tabs>
        <w:spacing w:before="1"/>
        <w:ind w:left="2000" w:right="1080" w:hanging="720"/>
      </w:pPr>
      <w:r>
        <w:t>Increase degree and certificate completion by 5% by 2017 for students who are male, for those who are African American/Black, and for those who are</w:t>
      </w:r>
      <w:r>
        <w:rPr>
          <w:spacing w:val="-2"/>
        </w:rPr>
        <w:t xml:space="preserve"> </w:t>
      </w:r>
      <w:r>
        <w:t>Latino.</w:t>
      </w:r>
    </w:p>
    <w:p w:rsidR="003344A8" w:rsidRDefault="003344A8" w:rsidP="003344A8">
      <w:pPr>
        <w:pStyle w:val="ListParagraph"/>
        <w:numPr>
          <w:ilvl w:val="0"/>
          <w:numId w:val="1"/>
        </w:numPr>
        <w:tabs>
          <w:tab w:val="left" w:pos="1641"/>
        </w:tabs>
        <w:spacing w:line="267" w:lineRule="exact"/>
      </w:pPr>
      <w:r>
        <w:t>Transfer</w:t>
      </w:r>
    </w:p>
    <w:p w:rsidR="003344A8" w:rsidRDefault="003344A8" w:rsidP="003344A8">
      <w:pPr>
        <w:pStyle w:val="ListParagraph"/>
        <w:numPr>
          <w:ilvl w:val="1"/>
          <w:numId w:val="1"/>
        </w:numPr>
        <w:tabs>
          <w:tab w:val="left" w:pos="2361"/>
        </w:tabs>
      </w:pPr>
      <w:r>
        <w:t>Maintain no equity gap in transfer rates for students who are African</w:t>
      </w:r>
      <w:r>
        <w:rPr>
          <w:spacing w:val="-9"/>
        </w:rPr>
        <w:t xml:space="preserve"> </w:t>
      </w:r>
      <w:r>
        <w:t>American/Black.</w:t>
      </w:r>
    </w:p>
    <w:p w:rsidR="003344A8" w:rsidRDefault="003344A8" w:rsidP="003344A8">
      <w:pPr>
        <w:pStyle w:val="ListParagraph"/>
        <w:numPr>
          <w:ilvl w:val="1"/>
          <w:numId w:val="1"/>
        </w:numPr>
        <w:tabs>
          <w:tab w:val="left" w:pos="2361"/>
        </w:tabs>
        <w:ind w:right="1295"/>
      </w:pPr>
      <w:r>
        <w:t>Increase transfer rates by 5% by 2017 for students who are Latino, Filipino,</w:t>
      </w:r>
      <w:r>
        <w:rPr>
          <w:spacing w:val="-30"/>
        </w:rPr>
        <w:t xml:space="preserve"> </w:t>
      </w:r>
      <w:r>
        <w:t>veterans, students who are low-income, and for students who have a documented</w:t>
      </w:r>
      <w:r>
        <w:rPr>
          <w:spacing w:val="-23"/>
        </w:rPr>
        <w:t xml:space="preserve"> </w:t>
      </w:r>
      <w:r>
        <w:t>disability.</w:t>
      </w:r>
    </w:p>
    <w:p w:rsidR="003344A8" w:rsidRDefault="003344A8" w:rsidP="003344A8">
      <w:pPr>
        <w:rPr>
          <w:b/>
        </w:rPr>
      </w:pPr>
    </w:p>
    <w:p w:rsidR="003344A8" w:rsidRDefault="003344A8" w:rsidP="003344A8">
      <w:pPr>
        <w:ind w:left="920" w:right="1011"/>
      </w:pPr>
      <w:r>
        <w:t>In order to achieve this, the college identified activities that needed to be strengthened in order to affect student success, including:</w:t>
      </w:r>
    </w:p>
    <w:p w:rsidR="003344A8" w:rsidRDefault="003344A8" w:rsidP="003344A8">
      <w:pPr>
        <w:pStyle w:val="ListParagraph"/>
        <w:numPr>
          <w:ilvl w:val="0"/>
          <w:numId w:val="17"/>
        </w:numPr>
        <w:ind w:right="1011"/>
      </w:pPr>
      <w:r>
        <w:t>Activities around increasing student</w:t>
      </w:r>
      <w:r w:rsidRPr="001815A9">
        <w:rPr>
          <w:spacing w:val="-2"/>
        </w:rPr>
        <w:t xml:space="preserve"> </w:t>
      </w:r>
      <w:r>
        <w:t>engagement/mentoring/advising.</w:t>
      </w:r>
    </w:p>
    <w:p w:rsidR="003344A8" w:rsidRDefault="003344A8" w:rsidP="003344A8">
      <w:pPr>
        <w:pStyle w:val="ListParagraph"/>
        <w:numPr>
          <w:ilvl w:val="0"/>
          <w:numId w:val="16"/>
        </w:numPr>
        <w:tabs>
          <w:tab w:val="left" w:pos="1640"/>
          <w:tab w:val="left" w:pos="1641"/>
        </w:tabs>
        <w:spacing w:before="42" w:line="273" w:lineRule="auto"/>
        <w:ind w:right="1074"/>
      </w:pPr>
      <w:r>
        <w:t>Activities around strengthening cohort learning models (e.g. learning communities, accelerated pathways,</w:t>
      </w:r>
      <w:r>
        <w:rPr>
          <w:spacing w:val="-3"/>
        </w:rPr>
        <w:t xml:space="preserve"> </w:t>
      </w:r>
      <w:r>
        <w:t>etc.).</w:t>
      </w:r>
    </w:p>
    <w:p w:rsidR="003344A8" w:rsidRDefault="003344A8" w:rsidP="003344A8">
      <w:pPr>
        <w:pStyle w:val="ListParagraph"/>
        <w:numPr>
          <w:ilvl w:val="0"/>
          <w:numId w:val="16"/>
        </w:numPr>
        <w:tabs>
          <w:tab w:val="left" w:pos="1640"/>
          <w:tab w:val="left" w:pos="1641"/>
        </w:tabs>
        <w:spacing w:before="4" w:line="276" w:lineRule="auto"/>
        <w:ind w:right="1960"/>
      </w:pPr>
      <w:r>
        <w:t>Activities around increasing opportunities for ongoing, cohesive professional learning opportunities.</w:t>
      </w:r>
    </w:p>
    <w:p w:rsidR="003344A8" w:rsidRDefault="003344A8" w:rsidP="003344A8">
      <w:pPr>
        <w:pStyle w:val="ListParagraph"/>
        <w:numPr>
          <w:ilvl w:val="0"/>
          <w:numId w:val="16"/>
        </w:numPr>
        <w:tabs>
          <w:tab w:val="left" w:pos="1640"/>
          <w:tab w:val="left" w:pos="1641"/>
        </w:tabs>
        <w:spacing w:line="276" w:lineRule="auto"/>
        <w:ind w:right="1170"/>
      </w:pPr>
      <w:r>
        <w:t>Activities around collecting, analyzing, and disseminating more data around success indicators for underserved student</w:t>
      </w:r>
      <w:r>
        <w:rPr>
          <w:spacing w:val="-4"/>
        </w:rPr>
        <w:t xml:space="preserve"> </w:t>
      </w:r>
      <w:r>
        <w:t>groups.</w:t>
      </w:r>
    </w:p>
    <w:p w:rsidR="003344A8" w:rsidRDefault="003344A8" w:rsidP="003344A8">
      <w:pPr>
        <w:pStyle w:val="ListParagraph"/>
        <w:numPr>
          <w:ilvl w:val="0"/>
          <w:numId w:val="16"/>
        </w:numPr>
        <w:tabs>
          <w:tab w:val="left" w:pos="1640"/>
          <w:tab w:val="left" w:pos="1641"/>
        </w:tabs>
        <w:spacing w:line="259" w:lineRule="auto"/>
        <w:ind w:right="1371"/>
      </w:pPr>
      <w:r>
        <w:t>Activities around connecting Pierce College with existing community agencies for resources, recruitment,</w:t>
      </w:r>
      <w:r>
        <w:rPr>
          <w:spacing w:val="-1"/>
        </w:rPr>
        <w:t xml:space="preserve"> </w:t>
      </w:r>
      <w:r>
        <w:t>partnerships.</w:t>
      </w:r>
    </w:p>
    <w:p w:rsidR="003344A8" w:rsidRDefault="003344A8" w:rsidP="003344A8">
      <w:pPr>
        <w:pStyle w:val="ListParagraph"/>
        <w:numPr>
          <w:ilvl w:val="0"/>
          <w:numId w:val="16"/>
        </w:numPr>
        <w:tabs>
          <w:tab w:val="left" w:pos="1640"/>
          <w:tab w:val="left" w:pos="1641"/>
        </w:tabs>
      </w:pPr>
      <w:r>
        <w:t>Activities around advertising existing Pierce College programs to underserved</w:t>
      </w:r>
      <w:r>
        <w:rPr>
          <w:spacing w:val="-8"/>
        </w:rPr>
        <w:t xml:space="preserve"> </w:t>
      </w:r>
      <w:r>
        <w:t>groups.</w:t>
      </w:r>
    </w:p>
    <w:p w:rsidR="003344A8" w:rsidRDefault="003344A8" w:rsidP="003344A8">
      <w:pPr>
        <w:pStyle w:val="ListParagraph"/>
        <w:numPr>
          <w:ilvl w:val="0"/>
          <w:numId w:val="16"/>
        </w:numPr>
        <w:tabs>
          <w:tab w:val="left" w:pos="1640"/>
          <w:tab w:val="left" w:pos="1641"/>
        </w:tabs>
        <w:spacing w:before="20"/>
      </w:pPr>
      <w:r>
        <w:t>Activities around creating programs to support students in creating educational plans and</w:t>
      </w:r>
      <w:r>
        <w:rPr>
          <w:spacing w:val="-7"/>
        </w:rPr>
        <w:t xml:space="preserve"> </w:t>
      </w:r>
      <w:r>
        <w:t>goals.</w:t>
      </w:r>
    </w:p>
    <w:p w:rsidR="003344A8" w:rsidRDefault="003344A8" w:rsidP="003344A8"/>
    <w:p w:rsidR="003344A8" w:rsidRDefault="00F760F8" w:rsidP="00B55CEA">
      <w:pPr>
        <w:ind w:left="720"/>
      </w:pPr>
      <w:r>
        <w:t>Between 2014-2017, t</w:t>
      </w:r>
      <w:r w:rsidR="003344A8">
        <w:t xml:space="preserve">he college made numerous strides in </w:t>
      </w:r>
      <w:r w:rsidR="00C4043B">
        <w:t>efforts to increase student success for our disproportionately impacted students through the c</w:t>
      </w:r>
      <w:r w:rsidR="003344A8">
        <w:t xml:space="preserve">reation and expansion of programs. </w:t>
      </w:r>
      <w:r w:rsidR="00B55CEA">
        <w:t>In the initial year, resources were focused on expanding some existing programs, including</w:t>
      </w:r>
      <w:r>
        <w:t xml:space="preserve"> </w:t>
      </w:r>
      <w:r w:rsidRPr="00F760F8">
        <w:t xml:space="preserve">GO Days, math redesign, Summer Bridge, and Course Embedded Tutoring. </w:t>
      </w:r>
      <w:r w:rsidR="00B55CEA">
        <w:t>Additionally, we piloted a textbook rental program, campus-wide town halls and transfer partnership with UCLA-CCCP.</w:t>
      </w:r>
    </w:p>
    <w:p w:rsidR="003344A8" w:rsidRDefault="003344A8" w:rsidP="003344A8">
      <w:pPr>
        <w:ind w:firstLine="720"/>
      </w:pPr>
    </w:p>
    <w:p w:rsidR="003344A8" w:rsidRPr="003569DD" w:rsidRDefault="003344A8" w:rsidP="003344A8">
      <w:pPr>
        <w:ind w:firstLine="720"/>
        <w:rPr>
          <w:b/>
        </w:rPr>
      </w:pPr>
      <w:r w:rsidRPr="003569DD">
        <w:rPr>
          <w:b/>
        </w:rPr>
        <w:t xml:space="preserve">Table </w:t>
      </w:r>
      <w:r w:rsidR="003569DD" w:rsidRPr="003569DD">
        <w:rPr>
          <w:b/>
        </w:rPr>
        <w:t>2</w:t>
      </w:r>
      <w:r w:rsidRPr="003569DD">
        <w:rPr>
          <w:b/>
        </w:rPr>
        <w:t>.1 Student Equity expenses 2015-2016</w:t>
      </w:r>
    </w:p>
    <w:tbl>
      <w:tblPr>
        <w:tblStyle w:val="TableGrid"/>
        <w:tblW w:w="7458" w:type="dxa"/>
        <w:tblInd w:w="745" w:type="dxa"/>
        <w:tblLook w:val="04A0" w:firstRow="1" w:lastRow="0" w:firstColumn="1" w:lastColumn="0" w:noHBand="0" w:noVBand="1"/>
        <w:tblCaption w:val="Student Equity expenses 2015-2016"/>
        <w:tblDescription w:val="Student Equity expenses 2015-2016"/>
      </w:tblPr>
      <w:tblGrid>
        <w:gridCol w:w="1320"/>
        <w:gridCol w:w="3600"/>
        <w:gridCol w:w="2538"/>
      </w:tblGrid>
      <w:tr w:rsidR="00201B4B" w:rsidRPr="00201B4B" w:rsidTr="008D6536">
        <w:trPr>
          <w:trHeight w:val="315"/>
        </w:trPr>
        <w:tc>
          <w:tcPr>
            <w:tcW w:w="1320" w:type="dxa"/>
            <w:noWrap/>
            <w:hideMark/>
          </w:tcPr>
          <w:p w:rsidR="00201B4B" w:rsidRPr="00201B4B" w:rsidRDefault="00201B4B" w:rsidP="00201B4B">
            <w:pPr>
              <w:widowControl/>
              <w:autoSpaceDE/>
              <w:autoSpaceDN/>
              <w:jc w:val="center"/>
              <w:rPr>
                <w:rFonts w:eastAsia="Times New Roman"/>
                <w:b/>
                <w:bCs/>
                <w:color w:val="000000"/>
                <w:lang w:bidi="ar-SA"/>
              </w:rPr>
            </w:pPr>
            <w:r w:rsidRPr="00201B4B">
              <w:rPr>
                <w:rFonts w:eastAsia="Times New Roman"/>
                <w:b/>
                <w:bCs/>
                <w:color w:val="000000"/>
                <w:lang w:bidi="ar-SA"/>
              </w:rPr>
              <w:t>Object Code</w:t>
            </w:r>
          </w:p>
        </w:tc>
        <w:tc>
          <w:tcPr>
            <w:tcW w:w="3600" w:type="dxa"/>
            <w:noWrap/>
            <w:hideMark/>
          </w:tcPr>
          <w:p w:rsidR="00201B4B" w:rsidRPr="00201B4B" w:rsidRDefault="00201B4B" w:rsidP="00201B4B">
            <w:pPr>
              <w:widowControl/>
              <w:autoSpaceDE/>
              <w:autoSpaceDN/>
              <w:jc w:val="center"/>
              <w:rPr>
                <w:rFonts w:eastAsia="Times New Roman"/>
                <w:b/>
                <w:bCs/>
                <w:color w:val="000000"/>
                <w:lang w:bidi="ar-SA"/>
              </w:rPr>
            </w:pPr>
            <w:r w:rsidRPr="00201B4B">
              <w:rPr>
                <w:rFonts w:eastAsia="Times New Roman"/>
                <w:b/>
                <w:bCs/>
                <w:color w:val="000000"/>
                <w:lang w:bidi="ar-SA"/>
              </w:rPr>
              <w:t>Description</w:t>
            </w:r>
          </w:p>
        </w:tc>
        <w:tc>
          <w:tcPr>
            <w:tcW w:w="2538" w:type="dxa"/>
            <w:noWrap/>
            <w:hideMark/>
          </w:tcPr>
          <w:p w:rsidR="00201B4B" w:rsidRPr="00201B4B" w:rsidRDefault="00201B4B" w:rsidP="00201B4B">
            <w:pPr>
              <w:widowControl/>
              <w:autoSpaceDE/>
              <w:autoSpaceDN/>
              <w:jc w:val="center"/>
              <w:rPr>
                <w:rFonts w:eastAsia="Times New Roman"/>
                <w:b/>
                <w:bCs/>
                <w:color w:val="000000"/>
                <w:lang w:bidi="ar-SA"/>
              </w:rPr>
            </w:pPr>
            <w:r w:rsidRPr="00201B4B">
              <w:rPr>
                <w:rFonts w:eastAsia="Times New Roman"/>
                <w:b/>
                <w:bCs/>
                <w:color w:val="000000"/>
                <w:lang w:bidi="ar-SA"/>
              </w:rPr>
              <w:t>Expenditures</w:t>
            </w:r>
          </w:p>
        </w:tc>
      </w:tr>
      <w:tr w:rsidR="00201B4B" w:rsidRPr="00201B4B" w:rsidTr="008D6536">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1000</w:t>
            </w:r>
          </w:p>
        </w:tc>
        <w:tc>
          <w:tcPr>
            <w:tcW w:w="36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Certificated Salaries</w:t>
            </w:r>
          </w:p>
        </w:tc>
        <w:tc>
          <w:tcPr>
            <w:tcW w:w="2538"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$744,753</w:t>
            </w:r>
          </w:p>
        </w:tc>
      </w:tr>
      <w:tr w:rsidR="00201B4B" w:rsidRPr="00201B4B" w:rsidTr="008D6536">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2000</w:t>
            </w:r>
          </w:p>
        </w:tc>
        <w:tc>
          <w:tcPr>
            <w:tcW w:w="36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Non-Certificated Salaries</w:t>
            </w:r>
          </w:p>
        </w:tc>
        <w:tc>
          <w:tcPr>
            <w:tcW w:w="2538"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$720,195</w:t>
            </w:r>
          </w:p>
        </w:tc>
      </w:tr>
      <w:tr w:rsidR="00201B4B" w:rsidRPr="00201B4B" w:rsidTr="008D6536">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3000</w:t>
            </w:r>
          </w:p>
        </w:tc>
        <w:tc>
          <w:tcPr>
            <w:tcW w:w="36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Employee Benefits</w:t>
            </w:r>
          </w:p>
        </w:tc>
        <w:tc>
          <w:tcPr>
            <w:tcW w:w="2538"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$99,029</w:t>
            </w:r>
          </w:p>
        </w:tc>
      </w:tr>
      <w:tr w:rsidR="00201B4B" w:rsidRPr="00201B4B" w:rsidTr="008D6536">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4000</w:t>
            </w:r>
          </w:p>
        </w:tc>
        <w:tc>
          <w:tcPr>
            <w:tcW w:w="36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Supplies and Materials</w:t>
            </w:r>
          </w:p>
        </w:tc>
        <w:tc>
          <w:tcPr>
            <w:tcW w:w="2538"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$274,520</w:t>
            </w:r>
          </w:p>
        </w:tc>
      </w:tr>
      <w:tr w:rsidR="00201B4B" w:rsidRPr="00201B4B" w:rsidTr="008D6536">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5000</w:t>
            </w:r>
          </w:p>
        </w:tc>
        <w:tc>
          <w:tcPr>
            <w:tcW w:w="36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Other Operating Expenses</w:t>
            </w:r>
          </w:p>
        </w:tc>
        <w:tc>
          <w:tcPr>
            <w:tcW w:w="2538"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$317,983</w:t>
            </w:r>
          </w:p>
        </w:tc>
      </w:tr>
      <w:tr w:rsidR="00201B4B" w:rsidRPr="00201B4B" w:rsidTr="008D6536">
        <w:trPr>
          <w:trHeight w:val="315"/>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6000</w:t>
            </w:r>
          </w:p>
        </w:tc>
        <w:tc>
          <w:tcPr>
            <w:tcW w:w="36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Equipment Expenses</w:t>
            </w:r>
          </w:p>
        </w:tc>
        <w:tc>
          <w:tcPr>
            <w:tcW w:w="2538"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$60,184</w:t>
            </w:r>
          </w:p>
        </w:tc>
      </w:tr>
      <w:tr w:rsidR="001E5159" w:rsidRPr="00201B4B" w:rsidTr="008D6536">
        <w:trPr>
          <w:trHeight w:val="315"/>
        </w:trPr>
        <w:tc>
          <w:tcPr>
            <w:tcW w:w="1320" w:type="dxa"/>
            <w:noWrap/>
          </w:tcPr>
          <w:p w:rsidR="001E5159" w:rsidRPr="00201B4B" w:rsidRDefault="001E5159" w:rsidP="00201B4B">
            <w:pPr>
              <w:widowControl/>
              <w:autoSpaceDE/>
              <w:autoSpaceDN/>
              <w:jc w:val="center"/>
              <w:rPr>
                <w:rFonts w:eastAsia="Times New Roman"/>
                <w:color w:val="000000"/>
                <w:lang w:bidi="ar-SA"/>
              </w:rPr>
            </w:pPr>
          </w:p>
        </w:tc>
        <w:tc>
          <w:tcPr>
            <w:tcW w:w="3600" w:type="dxa"/>
            <w:noWrap/>
          </w:tcPr>
          <w:p w:rsidR="001E5159" w:rsidRPr="00201B4B" w:rsidRDefault="001E5159" w:rsidP="00201B4B">
            <w:pPr>
              <w:widowControl/>
              <w:autoSpaceDE/>
              <w:autoSpaceDN/>
              <w:rPr>
                <w:rFonts w:eastAsia="Times New Roman"/>
                <w:color w:val="000000"/>
                <w:lang w:bidi="ar-SA"/>
              </w:rPr>
            </w:pPr>
            <w:r w:rsidRPr="00201B4B">
              <w:rPr>
                <w:rFonts w:eastAsia="Times New Roman"/>
                <w:b/>
                <w:bCs/>
                <w:color w:val="000000"/>
                <w:lang w:bidi="ar-SA"/>
              </w:rPr>
              <w:t>Total 2015-16 Budget</w:t>
            </w:r>
          </w:p>
        </w:tc>
        <w:tc>
          <w:tcPr>
            <w:tcW w:w="2538" w:type="dxa"/>
            <w:noWrap/>
          </w:tcPr>
          <w:p w:rsidR="001E5159" w:rsidRPr="00201B4B" w:rsidRDefault="001E5159" w:rsidP="00201B4B">
            <w:pPr>
              <w:widowControl/>
              <w:autoSpaceDE/>
              <w:autoSpaceDN/>
              <w:jc w:val="center"/>
              <w:rPr>
                <w:rFonts w:eastAsia="Times New Roman"/>
                <w:color w:val="000000"/>
                <w:lang w:bidi="ar-SA"/>
              </w:rPr>
            </w:pPr>
            <w:r w:rsidRPr="00201B4B">
              <w:rPr>
                <w:rFonts w:eastAsia="Times New Roman"/>
                <w:b/>
                <w:bCs/>
                <w:color w:val="000000"/>
                <w:lang w:bidi="ar-SA"/>
              </w:rPr>
              <w:t>$2,216,664</w:t>
            </w:r>
          </w:p>
        </w:tc>
      </w:tr>
    </w:tbl>
    <w:p w:rsidR="003344A8" w:rsidRDefault="003344A8" w:rsidP="003344A8">
      <w:pPr>
        <w:ind w:firstLine="720"/>
      </w:pPr>
    </w:p>
    <w:p w:rsidR="003344A8" w:rsidRDefault="003344A8" w:rsidP="003344A8">
      <w:pPr>
        <w:ind w:left="720" w:firstLine="45"/>
      </w:pPr>
      <w:r>
        <w:t xml:space="preserve">In 2016, </w:t>
      </w:r>
      <w:r w:rsidR="00B73D8A">
        <w:t xml:space="preserve">after conducting a needs inquiry, </w:t>
      </w:r>
      <w:r>
        <w:t>Pierce College established a</w:t>
      </w:r>
      <w:r w:rsidR="00B73D8A">
        <w:t>n</w:t>
      </w:r>
      <w:r>
        <w:t xml:space="preserve"> Umoja Village, supporting African American and Black students achieve student success and completion. The Umoja team consists of faculty, staff, counselors, mentors and overseen by the Dean of Student Success and focuse</w:t>
      </w:r>
      <w:r w:rsidR="009906A3">
        <w:t>s</w:t>
      </w:r>
      <w:r>
        <w:t xml:space="preserve"> their efforts on retention, successful course completion and certificate/degree achievement and/or transfer to a four-year university. Umoja is dedicated to enhancing the cultural and educational experiences by offering specialized counseling, visits to Historically Black Colleges and Universities, text book rental assistance, cultural events and focused student success workshops. </w:t>
      </w:r>
    </w:p>
    <w:p w:rsidR="003344A8" w:rsidRDefault="003344A8" w:rsidP="003344A8">
      <w:pPr>
        <w:ind w:left="720" w:firstLine="45"/>
      </w:pPr>
    </w:p>
    <w:p w:rsidR="003344A8" w:rsidRDefault="00B73D8A" w:rsidP="003344A8">
      <w:pPr>
        <w:ind w:left="720" w:firstLine="45"/>
      </w:pPr>
      <w:r>
        <w:t>Furthermore</w:t>
      </w:r>
      <w:r w:rsidR="009906A3">
        <w:t xml:space="preserve">, the college invested resources into </w:t>
      </w:r>
      <w:r w:rsidR="00A04A67" w:rsidRPr="00A04A67">
        <w:t xml:space="preserve">strengthening equity-focused professional learning opportunities and resources for faculty, staff, administrators, and student leaders, educators </w:t>
      </w:r>
      <w:r w:rsidR="00A04A67">
        <w:t xml:space="preserve">by </w:t>
      </w:r>
      <w:r w:rsidR="009906A3">
        <w:t xml:space="preserve">developing culturally responsive training. </w:t>
      </w:r>
      <w:r w:rsidR="00A04A67">
        <w:t xml:space="preserve">In 2016-17, culturally responsive training was incorporated into campus-wide events, such as Opening Day and scaled down for specific departments as well. </w:t>
      </w:r>
      <w:r>
        <w:t xml:space="preserve">These efforts sought to strengthen our commitment to establishing an educational community that promotes inclusive excellence and valuing the cultural richness in diversity.  </w:t>
      </w:r>
    </w:p>
    <w:p w:rsidR="001315FB" w:rsidRDefault="001315FB">
      <w:r>
        <w:br w:type="page"/>
      </w:r>
    </w:p>
    <w:p w:rsidR="00C62B4D" w:rsidRDefault="00C62B4D" w:rsidP="001315FB">
      <w:pPr>
        <w:rPr>
          <w:b/>
        </w:rPr>
      </w:pPr>
    </w:p>
    <w:p w:rsidR="00B73D8A" w:rsidRPr="003569DD" w:rsidRDefault="00B73D8A" w:rsidP="003344A8">
      <w:pPr>
        <w:ind w:left="720" w:firstLine="45"/>
        <w:rPr>
          <w:b/>
        </w:rPr>
      </w:pPr>
      <w:r w:rsidRPr="003569DD">
        <w:rPr>
          <w:b/>
        </w:rPr>
        <w:t xml:space="preserve">Table </w:t>
      </w:r>
      <w:r w:rsidR="003569DD" w:rsidRPr="003569DD">
        <w:rPr>
          <w:b/>
        </w:rPr>
        <w:t>2</w:t>
      </w:r>
      <w:r w:rsidRPr="003569DD">
        <w:rPr>
          <w:b/>
        </w:rPr>
        <w:t>.2 Student Equity expenses 2016-17</w:t>
      </w:r>
    </w:p>
    <w:tbl>
      <w:tblPr>
        <w:tblStyle w:val="TableGrid"/>
        <w:tblW w:w="6160" w:type="dxa"/>
        <w:tblInd w:w="775" w:type="dxa"/>
        <w:tblLook w:val="04A0" w:firstRow="1" w:lastRow="0" w:firstColumn="1" w:lastColumn="0" w:noHBand="0" w:noVBand="1"/>
        <w:tblCaption w:val="Student Equity  Expenses 2016-17"/>
        <w:tblDescription w:val="Student Equity  Expenses 2016-17"/>
      </w:tblPr>
      <w:tblGrid>
        <w:gridCol w:w="1320"/>
        <w:gridCol w:w="2900"/>
        <w:gridCol w:w="1940"/>
      </w:tblGrid>
      <w:tr w:rsidR="00201B4B" w:rsidRPr="00201B4B" w:rsidTr="00201B4B">
        <w:trPr>
          <w:trHeight w:val="315"/>
        </w:trPr>
        <w:tc>
          <w:tcPr>
            <w:tcW w:w="1320" w:type="dxa"/>
            <w:noWrap/>
            <w:hideMark/>
          </w:tcPr>
          <w:p w:rsidR="00201B4B" w:rsidRPr="00201B4B" w:rsidRDefault="00201B4B" w:rsidP="00201B4B">
            <w:pPr>
              <w:widowControl/>
              <w:autoSpaceDE/>
              <w:autoSpaceDN/>
              <w:jc w:val="center"/>
              <w:rPr>
                <w:rFonts w:eastAsia="Times New Roman"/>
                <w:b/>
                <w:bCs/>
                <w:color w:val="000000"/>
                <w:lang w:bidi="ar-SA"/>
              </w:rPr>
            </w:pPr>
            <w:r w:rsidRPr="00201B4B">
              <w:rPr>
                <w:rFonts w:eastAsia="Times New Roman"/>
                <w:b/>
                <w:bCs/>
                <w:color w:val="000000"/>
                <w:lang w:bidi="ar-SA"/>
              </w:rPr>
              <w:t>Object Code</w:t>
            </w:r>
          </w:p>
        </w:tc>
        <w:tc>
          <w:tcPr>
            <w:tcW w:w="2900" w:type="dxa"/>
            <w:noWrap/>
            <w:hideMark/>
          </w:tcPr>
          <w:p w:rsidR="00201B4B" w:rsidRPr="00201B4B" w:rsidRDefault="00201B4B" w:rsidP="00201B4B">
            <w:pPr>
              <w:widowControl/>
              <w:autoSpaceDE/>
              <w:autoSpaceDN/>
              <w:jc w:val="center"/>
              <w:rPr>
                <w:rFonts w:eastAsia="Times New Roman"/>
                <w:b/>
                <w:bCs/>
                <w:color w:val="000000"/>
                <w:lang w:bidi="ar-SA"/>
              </w:rPr>
            </w:pPr>
            <w:r w:rsidRPr="00201B4B">
              <w:rPr>
                <w:rFonts w:eastAsia="Times New Roman"/>
                <w:b/>
                <w:bCs/>
                <w:color w:val="000000"/>
                <w:lang w:bidi="ar-SA"/>
              </w:rPr>
              <w:t>Description</w:t>
            </w:r>
          </w:p>
        </w:tc>
        <w:tc>
          <w:tcPr>
            <w:tcW w:w="1940" w:type="dxa"/>
            <w:noWrap/>
            <w:hideMark/>
          </w:tcPr>
          <w:p w:rsidR="00201B4B" w:rsidRPr="00201B4B" w:rsidRDefault="00201B4B" w:rsidP="00201B4B">
            <w:pPr>
              <w:widowControl/>
              <w:autoSpaceDE/>
              <w:autoSpaceDN/>
              <w:jc w:val="center"/>
              <w:rPr>
                <w:rFonts w:eastAsia="Times New Roman"/>
                <w:b/>
                <w:bCs/>
                <w:color w:val="000000"/>
                <w:lang w:bidi="ar-SA"/>
              </w:rPr>
            </w:pPr>
            <w:r w:rsidRPr="00201B4B">
              <w:rPr>
                <w:rFonts w:eastAsia="Times New Roman"/>
                <w:b/>
                <w:bCs/>
                <w:color w:val="000000"/>
                <w:lang w:bidi="ar-SA"/>
              </w:rPr>
              <w:t>Expenditures</w:t>
            </w:r>
          </w:p>
        </w:tc>
      </w:tr>
      <w:tr w:rsidR="00201B4B" w:rsidRPr="00201B4B" w:rsidTr="00201B4B">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1000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Certificated Salaries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$567,775</w:t>
            </w:r>
          </w:p>
        </w:tc>
      </w:tr>
      <w:tr w:rsidR="00201B4B" w:rsidRPr="00201B4B" w:rsidTr="00201B4B">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2000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Non-Certificated Salaries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$880,010</w:t>
            </w:r>
          </w:p>
        </w:tc>
      </w:tr>
      <w:tr w:rsidR="00201B4B" w:rsidRPr="00201B4B" w:rsidTr="00201B4B">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3000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Employee Benefits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$114,426</w:t>
            </w:r>
          </w:p>
        </w:tc>
      </w:tr>
      <w:tr w:rsidR="00201B4B" w:rsidRPr="00201B4B" w:rsidTr="00201B4B">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4000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Supplies and Materials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$85,319</w:t>
            </w:r>
          </w:p>
        </w:tc>
      </w:tr>
      <w:tr w:rsidR="00201B4B" w:rsidRPr="00201B4B" w:rsidTr="00201B4B">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5000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Other Operating Expenses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$272,963</w:t>
            </w:r>
          </w:p>
        </w:tc>
      </w:tr>
      <w:tr w:rsidR="00201B4B" w:rsidRPr="00201B4B" w:rsidTr="00201B4B">
        <w:trPr>
          <w:trHeight w:val="315"/>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6000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Equipment Expenses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$144,709</w:t>
            </w:r>
          </w:p>
        </w:tc>
      </w:tr>
      <w:tr w:rsidR="001E5159" w:rsidRPr="00201B4B" w:rsidTr="00201B4B">
        <w:trPr>
          <w:trHeight w:val="315"/>
        </w:trPr>
        <w:tc>
          <w:tcPr>
            <w:tcW w:w="1320" w:type="dxa"/>
            <w:noWrap/>
          </w:tcPr>
          <w:p w:rsidR="001E5159" w:rsidRPr="00201B4B" w:rsidRDefault="001E5159" w:rsidP="00201B4B">
            <w:pPr>
              <w:widowControl/>
              <w:autoSpaceDE/>
              <w:autoSpaceDN/>
              <w:jc w:val="center"/>
              <w:rPr>
                <w:rFonts w:eastAsia="Times New Roman"/>
                <w:color w:val="000000"/>
                <w:lang w:bidi="ar-SA"/>
              </w:rPr>
            </w:pPr>
          </w:p>
        </w:tc>
        <w:tc>
          <w:tcPr>
            <w:tcW w:w="2900" w:type="dxa"/>
            <w:noWrap/>
          </w:tcPr>
          <w:p w:rsidR="001E5159" w:rsidRPr="00201B4B" w:rsidRDefault="001E5159" w:rsidP="00201B4B">
            <w:pPr>
              <w:widowControl/>
              <w:autoSpaceDE/>
              <w:autoSpaceDN/>
              <w:rPr>
                <w:rFonts w:eastAsia="Times New Roman"/>
                <w:color w:val="000000"/>
                <w:lang w:bidi="ar-SA"/>
              </w:rPr>
            </w:pPr>
            <w:r w:rsidRPr="00201B4B">
              <w:rPr>
                <w:rFonts w:eastAsia="Times New Roman"/>
                <w:b/>
                <w:bCs/>
                <w:color w:val="000000"/>
                <w:lang w:bidi="ar-SA"/>
              </w:rPr>
              <w:t>Total 201</w:t>
            </w:r>
            <w:r>
              <w:rPr>
                <w:rFonts w:eastAsia="Times New Roman"/>
                <w:b/>
                <w:bCs/>
                <w:color w:val="000000"/>
                <w:lang w:bidi="ar-SA"/>
              </w:rPr>
              <w:t>6-17</w:t>
            </w:r>
            <w:r w:rsidRPr="00201B4B">
              <w:rPr>
                <w:rFonts w:eastAsia="Times New Roman"/>
                <w:b/>
                <w:bCs/>
                <w:color w:val="000000"/>
                <w:lang w:bidi="ar-SA"/>
              </w:rPr>
              <w:t xml:space="preserve"> Budget</w:t>
            </w:r>
          </w:p>
        </w:tc>
        <w:tc>
          <w:tcPr>
            <w:tcW w:w="1940" w:type="dxa"/>
            <w:noWrap/>
          </w:tcPr>
          <w:p w:rsidR="001E5159" w:rsidRPr="00201B4B" w:rsidRDefault="001E5159" w:rsidP="00201B4B">
            <w:pPr>
              <w:widowControl/>
              <w:autoSpaceDE/>
              <w:autoSpaceDN/>
              <w:jc w:val="center"/>
              <w:rPr>
                <w:rFonts w:eastAsia="Times New Roman"/>
                <w:color w:val="000000"/>
                <w:lang w:bidi="ar-SA"/>
              </w:rPr>
            </w:pPr>
            <w:r w:rsidRPr="00201B4B">
              <w:rPr>
                <w:rFonts w:eastAsia="Times New Roman"/>
                <w:b/>
                <w:bCs/>
                <w:color w:val="000000"/>
                <w:lang w:bidi="ar-SA"/>
              </w:rPr>
              <w:t>$2,065,202</w:t>
            </w:r>
          </w:p>
        </w:tc>
      </w:tr>
    </w:tbl>
    <w:p w:rsidR="003344A8" w:rsidRDefault="003344A8" w:rsidP="003344A8">
      <w:pPr>
        <w:ind w:left="720" w:firstLine="45"/>
      </w:pPr>
      <w:r>
        <w:t xml:space="preserve"> </w:t>
      </w:r>
    </w:p>
    <w:p w:rsidR="003344A8" w:rsidRDefault="003344A8" w:rsidP="003344A8">
      <w:pPr>
        <w:ind w:left="720" w:firstLine="45"/>
      </w:pPr>
    </w:p>
    <w:p w:rsidR="003344A8" w:rsidRPr="007B7838" w:rsidRDefault="003344A8" w:rsidP="003344A8">
      <w:pPr>
        <w:ind w:left="720" w:firstLine="45"/>
      </w:pPr>
      <w:r>
        <w:t xml:space="preserve">More recently, Pierce College’s 2017-2019 Integrated Plan continued to provide intentional support to our disproportionately impacted students in the Success indicators of access, retention, ESL and Basic Skills Pathway completion, degree and certificate completion and transfer. It </w:t>
      </w:r>
      <w:r w:rsidR="00D93C67" w:rsidRPr="007B7838">
        <w:rPr>
          <w:sz w:val="24"/>
          <w:szCs w:val="24"/>
        </w:rPr>
        <w:t>established an integrated plan, which articulates how our student success and equity frameworks are braided together to advance five common priorities</w:t>
      </w:r>
      <w:r w:rsidRPr="007B7838">
        <w:t>:</w:t>
      </w:r>
    </w:p>
    <w:p w:rsidR="003344A8" w:rsidRPr="008E130C" w:rsidRDefault="003344A8" w:rsidP="003344A8">
      <w:pPr>
        <w:numPr>
          <w:ilvl w:val="0"/>
          <w:numId w:val="18"/>
        </w:numPr>
        <w:tabs>
          <w:tab w:val="left" w:pos="860"/>
        </w:tabs>
        <w:rPr>
          <w:sz w:val="24"/>
          <w:lang w:bidi="ar-SA"/>
        </w:rPr>
      </w:pPr>
      <w:r w:rsidRPr="008E130C">
        <w:rPr>
          <w:sz w:val="24"/>
          <w:lang w:bidi="ar-SA"/>
        </w:rPr>
        <w:t>Increase persistence – Increase fall to fall persistence by</w:t>
      </w:r>
      <w:r w:rsidRPr="008E130C">
        <w:rPr>
          <w:spacing w:val="-19"/>
          <w:sz w:val="24"/>
          <w:lang w:bidi="ar-SA"/>
        </w:rPr>
        <w:t xml:space="preserve"> </w:t>
      </w:r>
      <w:r w:rsidRPr="008E130C">
        <w:rPr>
          <w:sz w:val="24"/>
          <w:lang w:bidi="ar-SA"/>
        </w:rPr>
        <w:t>5%</w:t>
      </w:r>
    </w:p>
    <w:p w:rsidR="003344A8" w:rsidRPr="008E130C" w:rsidRDefault="003344A8" w:rsidP="003344A8">
      <w:pPr>
        <w:numPr>
          <w:ilvl w:val="0"/>
          <w:numId w:val="18"/>
        </w:numPr>
        <w:tabs>
          <w:tab w:val="left" w:pos="860"/>
        </w:tabs>
        <w:ind w:right="710"/>
        <w:rPr>
          <w:sz w:val="24"/>
          <w:lang w:bidi="ar-SA"/>
        </w:rPr>
      </w:pPr>
      <w:r w:rsidRPr="008E130C">
        <w:rPr>
          <w:sz w:val="24"/>
          <w:lang w:bidi="ar-SA"/>
        </w:rPr>
        <w:t>Strengthen students’ first year – Increase the number of students who are currently participating in first year programs by</w:t>
      </w:r>
      <w:r w:rsidRPr="008E130C">
        <w:rPr>
          <w:spacing w:val="-8"/>
          <w:sz w:val="24"/>
          <w:lang w:bidi="ar-SA"/>
        </w:rPr>
        <w:t xml:space="preserve"> </w:t>
      </w:r>
      <w:r w:rsidRPr="008E130C">
        <w:rPr>
          <w:sz w:val="24"/>
          <w:lang w:bidi="ar-SA"/>
        </w:rPr>
        <w:t>5%.</w:t>
      </w:r>
    </w:p>
    <w:p w:rsidR="003344A8" w:rsidRPr="008E130C" w:rsidRDefault="003344A8" w:rsidP="003344A8">
      <w:pPr>
        <w:numPr>
          <w:ilvl w:val="0"/>
          <w:numId w:val="18"/>
        </w:numPr>
        <w:tabs>
          <w:tab w:val="left" w:pos="860"/>
        </w:tabs>
        <w:rPr>
          <w:sz w:val="24"/>
          <w:lang w:bidi="ar-SA"/>
        </w:rPr>
      </w:pPr>
      <w:r w:rsidRPr="008E130C">
        <w:rPr>
          <w:sz w:val="24"/>
          <w:lang w:bidi="ar-SA"/>
        </w:rPr>
        <w:t>Eliminate equity gaps – Eliminate each identified equity gap by</w:t>
      </w:r>
      <w:r w:rsidRPr="008E130C">
        <w:rPr>
          <w:spacing w:val="-18"/>
          <w:sz w:val="24"/>
          <w:lang w:bidi="ar-SA"/>
        </w:rPr>
        <w:t xml:space="preserve"> </w:t>
      </w:r>
      <w:r w:rsidRPr="008E130C">
        <w:rPr>
          <w:sz w:val="24"/>
          <w:lang w:bidi="ar-SA"/>
        </w:rPr>
        <w:t>5%.</w:t>
      </w:r>
    </w:p>
    <w:p w:rsidR="003344A8" w:rsidRPr="008E130C" w:rsidRDefault="003344A8" w:rsidP="003344A8">
      <w:pPr>
        <w:numPr>
          <w:ilvl w:val="0"/>
          <w:numId w:val="18"/>
        </w:numPr>
        <w:tabs>
          <w:tab w:val="left" w:pos="860"/>
        </w:tabs>
        <w:ind w:right="444"/>
        <w:rPr>
          <w:sz w:val="24"/>
          <w:lang w:bidi="ar-SA"/>
        </w:rPr>
      </w:pPr>
      <w:r w:rsidRPr="008E130C">
        <w:rPr>
          <w:sz w:val="24"/>
          <w:lang w:bidi="ar-SA"/>
        </w:rPr>
        <w:t>Increased rates of completion of the developmental education sequence – Increase the number of students who are placing (or would have placed) into developmental English or math who successfully complete the English and math developmental education sequence by</w:t>
      </w:r>
      <w:r w:rsidRPr="008E130C">
        <w:rPr>
          <w:spacing w:val="-17"/>
          <w:sz w:val="24"/>
          <w:lang w:bidi="ar-SA"/>
        </w:rPr>
        <w:t xml:space="preserve"> </w:t>
      </w:r>
      <w:r w:rsidRPr="008E130C">
        <w:rPr>
          <w:sz w:val="24"/>
          <w:lang w:bidi="ar-SA"/>
        </w:rPr>
        <w:t>5%</w:t>
      </w:r>
    </w:p>
    <w:p w:rsidR="003344A8" w:rsidRPr="008E130C" w:rsidRDefault="003344A8" w:rsidP="003344A8">
      <w:pPr>
        <w:numPr>
          <w:ilvl w:val="0"/>
          <w:numId w:val="18"/>
        </w:numPr>
        <w:tabs>
          <w:tab w:val="left" w:pos="860"/>
        </w:tabs>
        <w:ind w:right="899"/>
        <w:rPr>
          <w:sz w:val="24"/>
          <w:lang w:bidi="ar-SA"/>
        </w:rPr>
      </w:pPr>
      <w:r w:rsidRPr="008E130C">
        <w:rPr>
          <w:sz w:val="24"/>
          <w:lang w:bidi="ar-SA"/>
        </w:rPr>
        <w:t>Increase engagement in the academic activities – Increase the number of students who engage in academic activities (e.g. coaching, clubs, tutoring, etc.) by</w:t>
      </w:r>
      <w:r w:rsidRPr="008E130C">
        <w:rPr>
          <w:spacing w:val="-22"/>
          <w:sz w:val="24"/>
          <w:lang w:bidi="ar-SA"/>
        </w:rPr>
        <w:t xml:space="preserve"> </w:t>
      </w:r>
      <w:r w:rsidRPr="008E130C">
        <w:rPr>
          <w:sz w:val="24"/>
          <w:lang w:bidi="ar-SA"/>
        </w:rPr>
        <w:t>5%.</w:t>
      </w:r>
    </w:p>
    <w:p w:rsidR="003344A8" w:rsidRDefault="003344A8" w:rsidP="003344A8">
      <w:pPr>
        <w:ind w:left="720" w:firstLine="45"/>
      </w:pPr>
    </w:p>
    <w:p w:rsidR="00E55C4D" w:rsidRDefault="00B73D8A" w:rsidP="00275A7C">
      <w:pPr>
        <w:ind w:left="720" w:firstLine="45"/>
      </w:pPr>
      <w:r>
        <w:t>Integrating Student Success Support Programs, Basic Skills Initiative and Student Equity clarified how our</w:t>
      </w:r>
      <w:r w:rsidR="00275A7C">
        <w:t xml:space="preserve"> collective</w:t>
      </w:r>
      <w:r>
        <w:t xml:space="preserve"> effor</w:t>
      </w:r>
      <w:r w:rsidR="003C6BB0">
        <w:t>ts</w:t>
      </w:r>
      <w:r>
        <w:t xml:space="preserve"> contributed to student success college-wide and supported our efforts in establishing a unified front in tackling </w:t>
      </w:r>
      <w:r w:rsidR="00275A7C">
        <w:t xml:space="preserve">equity gaps in these specific success areas. </w:t>
      </w:r>
      <w:r w:rsidR="007B7838">
        <w:t xml:space="preserve">Among the various efforts supported through SSSP, BSI and Student Equity, several highlights include the college’s efforts to increase our </w:t>
      </w:r>
      <w:r w:rsidR="003569DD">
        <w:t>first-year</w:t>
      </w:r>
      <w:r w:rsidR="007B7838">
        <w:t xml:space="preserve"> programs</w:t>
      </w:r>
      <w:r w:rsidR="00E55C4D">
        <w:t>, supports to increase retention</w:t>
      </w:r>
      <w:r w:rsidR="007B7838">
        <w:t xml:space="preserve">, </w:t>
      </w:r>
      <w:r w:rsidR="00E55C4D">
        <w:t>and partnerships to support completion rates.</w:t>
      </w:r>
    </w:p>
    <w:p w:rsidR="00F673BF" w:rsidRDefault="00F673BF" w:rsidP="00275A7C">
      <w:pPr>
        <w:ind w:left="720" w:firstLine="45"/>
      </w:pPr>
    </w:p>
    <w:p w:rsidR="003344A8" w:rsidRDefault="00E55C4D" w:rsidP="00F90246">
      <w:pPr>
        <w:ind w:left="720"/>
      </w:pPr>
      <w:r>
        <w:t xml:space="preserve">Our </w:t>
      </w:r>
      <w:r w:rsidR="00F21006">
        <w:t xml:space="preserve">New Student Programs </w:t>
      </w:r>
      <w:r w:rsidR="00F90246">
        <w:t xml:space="preserve">(NSP) </w:t>
      </w:r>
      <w:r w:rsidR="00F21006">
        <w:t xml:space="preserve">continues to </w:t>
      </w:r>
      <w:r w:rsidR="00F90246">
        <w:t xml:space="preserve">provide specialized counseling and programming for our </w:t>
      </w:r>
      <w:r w:rsidR="003569DD">
        <w:t>first-year</w:t>
      </w:r>
      <w:r w:rsidR="00F90246">
        <w:t xml:space="preserve"> students. Often working in collaboration with our High School Outreach Department, NSP helps to ensure that students receive orientation and make an appointment to discuss their educational goals with a counselor before enrolling in courses.  NSP often follows up with students who were recently admitted to LAPC to encourage participation in summer transition programs and/or on-campus new student orientation (GO Days)</w:t>
      </w:r>
      <w:r w:rsidR="001315FB">
        <w:t>.</w:t>
      </w:r>
    </w:p>
    <w:p w:rsidR="003344A8" w:rsidRDefault="003344A8" w:rsidP="003344A8">
      <w:pPr>
        <w:ind w:left="720" w:firstLine="45"/>
      </w:pPr>
    </w:p>
    <w:p w:rsidR="003344A8" w:rsidRDefault="00B73D8A" w:rsidP="003344A8">
      <w:pPr>
        <w:ind w:left="720" w:firstLine="45"/>
        <w:rPr>
          <w:b/>
        </w:rPr>
      </w:pPr>
      <w:r w:rsidRPr="003569DD">
        <w:rPr>
          <w:b/>
        </w:rPr>
        <w:t xml:space="preserve">Table </w:t>
      </w:r>
      <w:r w:rsidR="003569DD" w:rsidRPr="003569DD">
        <w:rPr>
          <w:b/>
        </w:rPr>
        <w:t>2</w:t>
      </w:r>
      <w:r w:rsidRPr="003569DD">
        <w:rPr>
          <w:b/>
        </w:rPr>
        <w:t xml:space="preserve">.3 Student Equity expenses </w:t>
      </w:r>
      <w:r w:rsidR="003344A8" w:rsidRPr="003569DD">
        <w:rPr>
          <w:b/>
        </w:rPr>
        <w:t xml:space="preserve">2017-2018 </w:t>
      </w:r>
    </w:p>
    <w:tbl>
      <w:tblPr>
        <w:tblStyle w:val="TableGrid"/>
        <w:tblW w:w="6160" w:type="dxa"/>
        <w:tblInd w:w="730" w:type="dxa"/>
        <w:tblLook w:val="04A0" w:firstRow="1" w:lastRow="0" w:firstColumn="1" w:lastColumn="0" w:noHBand="0" w:noVBand="1"/>
        <w:tblCaption w:val="Student Equity Expenses 2017-2018"/>
        <w:tblDescription w:val="Student Equity Expenses 2017-2018"/>
      </w:tblPr>
      <w:tblGrid>
        <w:gridCol w:w="1320"/>
        <w:gridCol w:w="2900"/>
        <w:gridCol w:w="1940"/>
      </w:tblGrid>
      <w:tr w:rsidR="00201B4B" w:rsidRPr="00201B4B" w:rsidTr="00201B4B">
        <w:trPr>
          <w:trHeight w:val="315"/>
        </w:trPr>
        <w:tc>
          <w:tcPr>
            <w:tcW w:w="1320" w:type="dxa"/>
            <w:noWrap/>
            <w:hideMark/>
          </w:tcPr>
          <w:p w:rsidR="00201B4B" w:rsidRPr="00201B4B" w:rsidRDefault="00201B4B" w:rsidP="00201B4B">
            <w:pPr>
              <w:widowControl/>
              <w:autoSpaceDE/>
              <w:autoSpaceDN/>
              <w:jc w:val="center"/>
              <w:rPr>
                <w:rFonts w:eastAsia="Times New Roman"/>
                <w:b/>
                <w:bCs/>
                <w:color w:val="000000"/>
                <w:lang w:bidi="ar-SA"/>
              </w:rPr>
            </w:pPr>
            <w:r w:rsidRPr="00201B4B">
              <w:rPr>
                <w:rFonts w:eastAsia="Times New Roman"/>
                <w:b/>
                <w:bCs/>
                <w:color w:val="000000"/>
                <w:lang w:bidi="ar-SA"/>
              </w:rPr>
              <w:t>Object Code</w:t>
            </w:r>
          </w:p>
        </w:tc>
        <w:tc>
          <w:tcPr>
            <w:tcW w:w="2900" w:type="dxa"/>
            <w:noWrap/>
            <w:hideMark/>
          </w:tcPr>
          <w:p w:rsidR="00201B4B" w:rsidRPr="00201B4B" w:rsidRDefault="00201B4B" w:rsidP="00201B4B">
            <w:pPr>
              <w:widowControl/>
              <w:autoSpaceDE/>
              <w:autoSpaceDN/>
              <w:jc w:val="center"/>
              <w:rPr>
                <w:rFonts w:eastAsia="Times New Roman"/>
                <w:b/>
                <w:bCs/>
                <w:color w:val="000000"/>
                <w:lang w:bidi="ar-SA"/>
              </w:rPr>
            </w:pPr>
            <w:r w:rsidRPr="00201B4B">
              <w:rPr>
                <w:rFonts w:eastAsia="Times New Roman"/>
                <w:b/>
                <w:bCs/>
                <w:color w:val="000000"/>
                <w:lang w:bidi="ar-SA"/>
              </w:rPr>
              <w:t>Description</w:t>
            </w:r>
          </w:p>
        </w:tc>
        <w:tc>
          <w:tcPr>
            <w:tcW w:w="1940" w:type="dxa"/>
            <w:noWrap/>
            <w:hideMark/>
          </w:tcPr>
          <w:p w:rsidR="00201B4B" w:rsidRPr="00201B4B" w:rsidRDefault="00201B4B" w:rsidP="00201B4B">
            <w:pPr>
              <w:widowControl/>
              <w:autoSpaceDE/>
              <w:autoSpaceDN/>
              <w:jc w:val="center"/>
              <w:rPr>
                <w:rFonts w:eastAsia="Times New Roman"/>
                <w:b/>
                <w:bCs/>
                <w:color w:val="000000"/>
                <w:lang w:bidi="ar-SA"/>
              </w:rPr>
            </w:pPr>
            <w:r w:rsidRPr="00201B4B">
              <w:rPr>
                <w:rFonts w:eastAsia="Times New Roman"/>
                <w:b/>
                <w:bCs/>
                <w:color w:val="000000"/>
                <w:lang w:bidi="ar-SA"/>
              </w:rPr>
              <w:t>Expenditures</w:t>
            </w:r>
          </w:p>
        </w:tc>
      </w:tr>
      <w:tr w:rsidR="00201B4B" w:rsidRPr="00201B4B" w:rsidTr="00201B4B">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1000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Certificated Salaries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$559,972</w:t>
            </w:r>
          </w:p>
        </w:tc>
      </w:tr>
      <w:tr w:rsidR="00201B4B" w:rsidRPr="00201B4B" w:rsidTr="00201B4B">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2000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Non-Certificated Salaries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$697,901</w:t>
            </w:r>
          </w:p>
        </w:tc>
      </w:tr>
      <w:tr w:rsidR="00201B4B" w:rsidRPr="00201B4B" w:rsidTr="00201B4B">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3000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Employee Benefits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$107,706</w:t>
            </w:r>
          </w:p>
        </w:tc>
      </w:tr>
      <w:tr w:rsidR="00201B4B" w:rsidRPr="00201B4B" w:rsidTr="00201B4B">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4000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Supplies and Materials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$29,082</w:t>
            </w:r>
          </w:p>
        </w:tc>
      </w:tr>
      <w:tr w:rsidR="00201B4B" w:rsidRPr="00201B4B" w:rsidTr="00201B4B">
        <w:trPr>
          <w:trHeight w:val="300"/>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5000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Other Operating Expenses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$639,803</w:t>
            </w:r>
          </w:p>
        </w:tc>
      </w:tr>
      <w:tr w:rsidR="00201B4B" w:rsidRPr="00201B4B" w:rsidTr="00201B4B">
        <w:trPr>
          <w:trHeight w:val="315"/>
        </w:trPr>
        <w:tc>
          <w:tcPr>
            <w:tcW w:w="132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6000</w:t>
            </w:r>
          </w:p>
        </w:tc>
        <w:tc>
          <w:tcPr>
            <w:tcW w:w="2900" w:type="dxa"/>
            <w:noWrap/>
            <w:hideMark/>
          </w:tcPr>
          <w:p w:rsidR="00201B4B" w:rsidRPr="00201B4B" w:rsidRDefault="00201B4B" w:rsidP="00201B4B">
            <w:pPr>
              <w:widowControl/>
              <w:autoSpaceDE/>
              <w:autoSpaceDN/>
              <w:rPr>
                <w:rFonts w:eastAsia="Times New Roman"/>
                <w:color w:val="000000"/>
                <w:lang w:bidi="ar-SA"/>
              </w:rPr>
            </w:pPr>
            <w:r w:rsidRPr="00201B4B">
              <w:rPr>
                <w:rFonts w:eastAsia="Times New Roman"/>
                <w:color w:val="000000"/>
                <w:lang w:bidi="ar-SA"/>
              </w:rPr>
              <w:t>Equipment Expenses</w:t>
            </w:r>
          </w:p>
        </w:tc>
        <w:tc>
          <w:tcPr>
            <w:tcW w:w="1940" w:type="dxa"/>
            <w:noWrap/>
            <w:hideMark/>
          </w:tcPr>
          <w:p w:rsidR="00201B4B" w:rsidRPr="00201B4B" w:rsidRDefault="00201B4B" w:rsidP="00201B4B">
            <w:pPr>
              <w:widowControl/>
              <w:autoSpaceDE/>
              <w:autoSpaceDN/>
              <w:jc w:val="center"/>
              <w:rPr>
                <w:rFonts w:eastAsia="Times New Roman"/>
                <w:color w:val="000000"/>
                <w:lang w:bidi="ar-SA"/>
              </w:rPr>
            </w:pPr>
            <w:r w:rsidRPr="00201B4B">
              <w:rPr>
                <w:rFonts w:eastAsia="Times New Roman"/>
                <w:color w:val="000000"/>
                <w:lang w:bidi="ar-SA"/>
              </w:rPr>
              <w:t>$1,740</w:t>
            </w:r>
          </w:p>
        </w:tc>
      </w:tr>
      <w:tr w:rsidR="001E5159" w:rsidRPr="00201B4B" w:rsidTr="00201B4B">
        <w:trPr>
          <w:trHeight w:val="315"/>
        </w:trPr>
        <w:tc>
          <w:tcPr>
            <w:tcW w:w="1320" w:type="dxa"/>
            <w:noWrap/>
          </w:tcPr>
          <w:p w:rsidR="001E5159" w:rsidRPr="00201B4B" w:rsidRDefault="001E5159" w:rsidP="00201B4B">
            <w:pPr>
              <w:widowControl/>
              <w:autoSpaceDE/>
              <w:autoSpaceDN/>
              <w:jc w:val="center"/>
              <w:rPr>
                <w:rFonts w:eastAsia="Times New Roman"/>
                <w:color w:val="000000"/>
                <w:lang w:bidi="ar-SA"/>
              </w:rPr>
            </w:pPr>
          </w:p>
        </w:tc>
        <w:tc>
          <w:tcPr>
            <w:tcW w:w="2900" w:type="dxa"/>
            <w:noWrap/>
          </w:tcPr>
          <w:p w:rsidR="001E5159" w:rsidRPr="00201B4B" w:rsidRDefault="001E5159" w:rsidP="00201B4B">
            <w:pPr>
              <w:widowControl/>
              <w:autoSpaceDE/>
              <w:autoSpaceDN/>
              <w:rPr>
                <w:rFonts w:eastAsia="Times New Roman"/>
                <w:color w:val="000000"/>
                <w:lang w:bidi="ar-SA"/>
              </w:rPr>
            </w:pPr>
            <w:r w:rsidRPr="00201B4B">
              <w:rPr>
                <w:rFonts w:eastAsia="Times New Roman"/>
                <w:b/>
                <w:bCs/>
                <w:color w:val="000000"/>
                <w:lang w:bidi="ar-SA"/>
              </w:rPr>
              <w:t>Total 20</w:t>
            </w:r>
            <w:r>
              <w:rPr>
                <w:rFonts w:eastAsia="Times New Roman"/>
                <w:b/>
                <w:bCs/>
                <w:color w:val="000000"/>
                <w:lang w:bidi="ar-SA"/>
              </w:rPr>
              <w:t>17-18</w:t>
            </w:r>
            <w:r w:rsidRPr="00201B4B">
              <w:rPr>
                <w:rFonts w:eastAsia="Times New Roman"/>
                <w:b/>
                <w:bCs/>
                <w:color w:val="000000"/>
                <w:lang w:bidi="ar-SA"/>
              </w:rPr>
              <w:t xml:space="preserve"> Budget</w:t>
            </w:r>
          </w:p>
        </w:tc>
        <w:tc>
          <w:tcPr>
            <w:tcW w:w="1940" w:type="dxa"/>
            <w:noWrap/>
          </w:tcPr>
          <w:p w:rsidR="001E5159" w:rsidRPr="00201B4B" w:rsidRDefault="001E5159" w:rsidP="00201B4B">
            <w:pPr>
              <w:widowControl/>
              <w:autoSpaceDE/>
              <w:autoSpaceDN/>
              <w:jc w:val="center"/>
              <w:rPr>
                <w:rFonts w:eastAsia="Times New Roman"/>
                <w:color w:val="000000"/>
                <w:lang w:bidi="ar-SA"/>
              </w:rPr>
            </w:pPr>
            <w:r w:rsidRPr="00201B4B">
              <w:rPr>
                <w:rFonts w:eastAsia="Times New Roman"/>
                <w:b/>
                <w:bCs/>
                <w:color w:val="000000"/>
                <w:lang w:bidi="ar-SA"/>
              </w:rPr>
              <w:t>$2,036,204</w:t>
            </w:r>
          </w:p>
        </w:tc>
      </w:tr>
    </w:tbl>
    <w:p w:rsidR="00201B4B" w:rsidRPr="003569DD" w:rsidRDefault="00201B4B" w:rsidP="003344A8">
      <w:pPr>
        <w:ind w:left="720" w:firstLine="45"/>
        <w:rPr>
          <w:b/>
        </w:rPr>
      </w:pPr>
    </w:p>
    <w:p w:rsidR="000A322F" w:rsidRDefault="000A322F" w:rsidP="000A322F">
      <w:pPr>
        <w:ind w:left="720" w:right="420"/>
      </w:pPr>
      <w:bookmarkStart w:id="0" w:name="_Hlk8137706"/>
      <w:r>
        <w:t>Over the past several years, Pierce College has invested substantial resources to support student success for our diverse population, with focus on students who are traditionally underrepresented in higher education. Recognizing that students and processes can be fluid and ever-changing, the progress made in achieving our goals from prior years has been mixed. Some gaps have decreased or eliminated in some areas, while other areas for particular groups have increased. Some noteworthy milestones include Pierce College’s progress in transfer rates</w:t>
      </w:r>
      <w:r w:rsidR="00B505E7">
        <w:t xml:space="preserve">. Despite the MIS data reporting low rates in 2016-17, LAPC was recently achieved the top transfer rate to UCLA in 2018 and consistently remains in the top 10% of schools that transfer to UC schools. Based on the updated data, the college </w:t>
      </w:r>
      <w:r w:rsidR="00FC67EC">
        <w:t xml:space="preserve">has eliminated most equity gaps in transfer, but we continue efforts to increase transfer rates in general. </w:t>
      </w:r>
    </w:p>
    <w:p w:rsidR="00F673BF" w:rsidRDefault="00F673BF" w:rsidP="000A322F">
      <w:pPr>
        <w:ind w:left="720" w:right="420"/>
      </w:pPr>
    </w:p>
    <w:p w:rsidR="001315FB" w:rsidRDefault="003344A8" w:rsidP="003344A8">
      <w:pPr>
        <w:ind w:left="720" w:firstLine="45"/>
      </w:pPr>
      <w:r>
        <w:t>In 2017, after a successful pilot the year prior, Pierce College continued its commitment to transfer through our UCLA CCCP Scholars Program, which helps motivate, inform and prepare Pierce College students to transfer to selective top tier research institutions, such as UCLA and other UC schools. This program includes opportunities such as summer intensive transfer experiences, on and off-campus workshops, mentorships, and recurring guidance and support.</w:t>
      </w:r>
      <w:r w:rsidR="000A322F">
        <w:t xml:space="preserve"> Additionally, the Transfer Center strategically plans its hours of operation around the calendar and transfer deadlines. It trains most counselors to support students who have goals to transfer to a four-year institution and ensures that staff and/or mentors are available to assist student near peak transfer application periods.</w:t>
      </w:r>
      <w:bookmarkEnd w:id="0"/>
    </w:p>
    <w:p w:rsidR="001315FB" w:rsidRDefault="001315FB" w:rsidP="003344A8">
      <w:pPr>
        <w:ind w:left="720" w:firstLine="45"/>
      </w:pPr>
    </w:p>
    <w:p w:rsidR="00F673BF" w:rsidRDefault="003344A8" w:rsidP="003344A8">
      <w:pPr>
        <w:ind w:left="720" w:firstLine="45"/>
      </w:pPr>
      <w:r>
        <w:t>Veterans’ Resource Center officially opened its doors in November 2017, providing specialized support, including tutoring, advising and counseling for our student veterans. The resource center supports veterans as they transition from their military service to the college campus and focuses on accessing available on and off-campus resources, increasing awareness of our student veteran population, introducing opportunities for student veterans to be engaged on campus</w:t>
      </w:r>
      <w:r w:rsidR="00F673BF">
        <w:t xml:space="preserve">. Additionally, professional learning opportunities for our faculty and staff have been made available to strengthen their </w:t>
      </w:r>
      <w:r w:rsidR="00FB5784">
        <w:t>capacity in</w:t>
      </w:r>
      <w:r w:rsidR="00F673BF">
        <w:t xml:space="preserve"> serving our Veteran students.</w:t>
      </w:r>
    </w:p>
    <w:p w:rsidR="003344A8" w:rsidRDefault="003344A8" w:rsidP="003344A8">
      <w:pPr>
        <w:ind w:left="720" w:firstLine="45"/>
      </w:pPr>
      <w:r>
        <w:t xml:space="preserve"> </w:t>
      </w:r>
    </w:p>
    <w:p w:rsidR="00C542FA" w:rsidRPr="00F673BF" w:rsidRDefault="003569DD" w:rsidP="00FC67EC">
      <w:pPr>
        <w:ind w:left="720" w:right="420"/>
      </w:pPr>
      <w:r>
        <w:t xml:space="preserve">Pierce College continues to </w:t>
      </w:r>
      <w:r w:rsidRPr="003569DD">
        <w:t xml:space="preserve">strengthen and support the existing professional development efforts by providing faculty and staff with cohesive, ongoing learning opportunities in the areas of student equity and </w:t>
      </w:r>
      <w:r>
        <w:t xml:space="preserve">achievement. In addition to our annual Student Success Conference for all faculty, the college has also made strides in partnering with our Office of Professional Excellence to offer culturally responsive training </w:t>
      </w:r>
      <w:r w:rsidRPr="00F673BF">
        <w:t>to our faculty and staff to better support our LGBTQ and Veter</w:t>
      </w:r>
      <w:r w:rsidR="00C542FA" w:rsidRPr="00F673BF">
        <w:t>a</w:t>
      </w:r>
      <w:r w:rsidRPr="00F673BF">
        <w:t>n student population.  basic skills.</w:t>
      </w:r>
    </w:p>
    <w:p w:rsidR="00FC67EC" w:rsidRPr="00F673BF" w:rsidRDefault="00FC67EC" w:rsidP="00FC67EC">
      <w:pPr>
        <w:ind w:left="720" w:right="420"/>
      </w:pPr>
      <w:r w:rsidRPr="00F673BF">
        <w:t>Over the next three years, the college will continue to build on the groundwork that has already been established to integrate the college’s student success initiatives into a cohesive, college-wide vision for student success and equity-mindedness.</w:t>
      </w:r>
    </w:p>
    <w:p w:rsidR="003344A8" w:rsidRDefault="003344A8" w:rsidP="003344A8"/>
    <w:p w:rsidR="00C62B4D" w:rsidRDefault="00C62B4D" w:rsidP="003344A8"/>
    <w:p w:rsidR="003344A8" w:rsidRDefault="00B505E7" w:rsidP="00C542FA">
      <w:pPr>
        <w:pStyle w:val="Heading6"/>
        <w:numPr>
          <w:ilvl w:val="0"/>
          <w:numId w:val="28"/>
        </w:numPr>
      </w:pPr>
      <w:r>
        <w:t>Student Equity and Achievement (SEA)</w:t>
      </w:r>
      <w:r w:rsidR="00554E36">
        <w:t xml:space="preserve"> Programs</w:t>
      </w:r>
    </w:p>
    <w:p w:rsidR="00D64061" w:rsidRDefault="00D64061" w:rsidP="00BC49FE">
      <w:pPr>
        <w:ind w:left="920" w:right="983"/>
      </w:pPr>
    </w:p>
    <w:p w:rsidR="00705618" w:rsidRDefault="00A5556E" w:rsidP="00705618">
      <w:pPr>
        <w:ind w:left="720" w:right="983"/>
      </w:pPr>
      <w:bookmarkStart w:id="1" w:name="_Hlk8034421"/>
      <w:r>
        <w:t>In alignment with the college’s</w:t>
      </w:r>
      <w:r w:rsidR="006F3243">
        <w:t xml:space="preserve"> Strategic Master Plan, this </w:t>
      </w:r>
      <w:r w:rsidR="00BC49FE">
        <w:t xml:space="preserve">Student Equity Plan (SEP) presents a focused set of activities intended to address issues on inequity identified through college-based research in each of the five areas of 1) Successful enrollment, </w:t>
      </w:r>
      <w:r w:rsidR="007C6B44" w:rsidRPr="00C05AF6">
        <w:t>refer</w:t>
      </w:r>
      <w:r w:rsidR="007C6B44">
        <w:t>ring</w:t>
      </w:r>
      <w:r w:rsidR="007C6B44" w:rsidRPr="00C05AF6">
        <w:t xml:space="preserve"> to the number of </w:t>
      </w:r>
      <w:r w:rsidR="007C6B44" w:rsidRPr="001209CB">
        <w:t>st</w:t>
      </w:r>
      <w:r w:rsidR="007C6B44">
        <w:t xml:space="preserve">udents who enrolled within one year at the same college to which they applied, </w:t>
      </w:r>
      <w:r w:rsidR="00BC49FE">
        <w:t xml:space="preserve">2) </w:t>
      </w:r>
      <w:r w:rsidR="007C6B44">
        <w:t xml:space="preserve">Fall to Spring semester </w:t>
      </w:r>
      <w:r w:rsidR="00BC49FE">
        <w:t>Retention, 3) Completion of college-level math and English sequences,</w:t>
      </w:r>
      <w:r w:rsidR="007C6B44">
        <w:t xml:space="preserve"> within one year of enrolling in the district</w:t>
      </w:r>
      <w:r w:rsidR="00BC49FE">
        <w:t xml:space="preserve"> 4) Transfer to a four year institution, 5) Attainment of a </w:t>
      </w:r>
      <w:r w:rsidR="007C6B44">
        <w:t xml:space="preserve">state approved </w:t>
      </w:r>
      <w:r w:rsidR="00BC49FE">
        <w:t>certificate</w:t>
      </w:r>
      <w:r w:rsidR="007C6B44">
        <w:t xml:space="preserve"> of at least 18 units</w:t>
      </w:r>
      <w:r w:rsidR="00BC49FE">
        <w:t xml:space="preserve"> or </w:t>
      </w:r>
      <w:r w:rsidR="006F3243">
        <w:t xml:space="preserve">an associate </w:t>
      </w:r>
      <w:r w:rsidR="00BC49FE">
        <w:t xml:space="preserve">degree. Ensuring equity in student access, success and achievement is fundamental to all </w:t>
      </w:r>
      <w:r w:rsidR="006F3243">
        <w:t xml:space="preserve">college </w:t>
      </w:r>
      <w:r w:rsidR="00BC49FE">
        <w:t>programs and services.</w:t>
      </w:r>
      <w:r w:rsidR="00705618">
        <w:t xml:space="preserve"> Using a data provided by the California Community College Chancellor’s Office, current baseline data was established for Pierce College in these five success metric areas. </w:t>
      </w:r>
    </w:p>
    <w:bookmarkEnd w:id="1"/>
    <w:p w:rsidR="00B46AA7" w:rsidRPr="00273078" w:rsidRDefault="00B46AA7" w:rsidP="00BC49FE">
      <w:pPr>
        <w:ind w:left="920" w:right="983"/>
        <w:rPr>
          <w:b/>
        </w:rPr>
      </w:pPr>
      <w:r w:rsidRPr="00273078">
        <w:rPr>
          <w:b/>
        </w:rPr>
        <w:t xml:space="preserve">Table </w:t>
      </w:r>
      <w:r w:rsidR="00C542FA" w:rsidRPr="00273078">
        <w:rPr>
          <w:b/>
        </w:rPr>
        <w:t>3</w:t>
      </w:r>
      <w:r w:rsidRPr="00273078">
        <w:rPr>
          <w:b/>
        </w:rPr>
        <w:t>.1 Baseline for Overall Student Success Rate in each Success Metric</w:t>
      </w:r>
    </w:p>
    <w:tbl>
      <w:tblPr>
        <w:tblStyle w:val="TableGrid"/>
        <w:tblW w:w="0" w:type="auto"/>
        <w:tblInd w:w="670" w:type="dxa"/>
        <w:tblLayout w:type="fixed"/>
        <w:tblLook w:val="01E0" w:firstRow="1" w:lastRow="1" w:firstColumn="1" w:lastColumn="1" w:noHBand="0" w:noVBand="0"/>
        <w:tblCaption w:val="Baseline for Overall Student Success Rate in each Success Metric"/>
        <w:tblDescription w:val="Baseline for Overall Student Success Rate in each Success Metric"/>
      </w:tblPr>
      <w:tblGrid>
        <w:gridCol w:w="3150"/>
        <w:gridCol w:w="3150"/>
        <w:gridCol w:w="3150"/>
      </w:tblGrid>
      <w:tr w:rsidR="002476F1" w:rsidRPr="00E1143A" w:rsidTr="00A72BF6">
        <w:trPr>
          <w:trHeight w:val="299"/>
        </w:trPr>
        <w:tc>
          <w:tcPr>
            <w:tcW w:w="3150" w:type="dxa"/>
          </w:tcPr>
          <w:p w:rsidR="002476F1" w:rsidRPr="00E1143A" w:rsidRDefault="002476F1" w:rsidP="00FB2A41">
            <w:pPr>
              <w:spacing w:before="11"/>
              <w:jc w:val="center"/>
              <w:rPr>
                <w:b/>
              </w:rPr>
            </w:pPr>
            <w:r w:rsidRPr="00E1143A">
              <w:rPr>
                <w:b/>
              </w:rPr>
              <w:t>Success Me</w:t>
            </w:r>
            <w:r>
              <w:rPr>
                <w:b/>
              </w:rPr>
              <w:t>tric</w:t>
            </w:r>
          </w:p>
        </w:tc>
        <w:tc>
          <w:tcPr>
            <w:tcW w:w="3150" w:type="dxa"/>
          </w:tcPr>
          <w:p w:rsidR="002476F1" w:rsidRPr="00E1143A" w:rsidRDefault="002476F1" w:rsidP="006F3243">
            <w:pPr>
              <w:spacing w:before="11"/>
              <w:ind w:left="153" w:right="141"/>
              <w:jc w:val="center"/>
              <w:rPr>
                <w:b/>
              </w:rPr>
            </w:pPr>
            <w:r>
              <w:rPr>
                <w:b/>
              </w:rPr>
              <w:t>Current Baseline for Overall Student Population by %</w:t>
            </w:r>
          </w:p>
        </w:tc>
        <w:tc>
          <w:tcPr>
            <w:tcW w:w="3150" w:type="dxa"/>
          </w:tcPr>
          <w:p w:rsidR="002476F1" w:rsidRDefault="002476F1" w:rsidP="006F3243">
            <w:pPr>
              <w:spacing w:before="11"/>
              <w:ind w:left="153" w:right="141"/>
              <w:jc w:val="center"/>
              <w:rPr>
                <w:b/>
              </w:rPr>
            </w:pPr>
            <w:r>
              <w:rPr>
                <w:b/>
              </w:rPr>
              <w:t>Current Baseline for Overall Student Population</w:t>
            </w:r>
          </w:p>
        </w:tc>
      </w:tr>
      <w:tr w:rsidR="002476F1" w:rsidRPr="00E1143A" w:rsidTr="00A72BF6">
        <w:trPr>
          <w:trHeight w:val="824"/>
        </w:trPr>
        <w:tc>
          <w:tcPr>
            <w:tcW w:w="3150" w:type="dxa"/>
          </w:tcPr>
          <w:p w:rsidR="002476F1" w:rsidRDefault="002476F1" w:rsidP="006F3243">
            <w:pPr>
              <w:spacing w:before="13" w:line="266" w:lineRule="exact"/>
              <w:ind w:left="150" w:right="120"/>
              <w:jc w:val="center"/>
            </w:pPr>
          </w:p>
          <w:p w:rsidR="002476F1" w:rsidRPr="00E1143A" w:rsidRDefault="002476F1" w:rsidP="006F3243">
            <w:pPr>
              <w:spacing w:before="13" w:line="266" w:lineRule="exact"/>
              <w:ind w:left="150" w:right="120"/>
              <w:jc w:val="center"/>
            </w:pPr>
            <w:r>
              <w:t>Successful Enrollment</w:t>
            </w:r>
          </w:p>
        </w:tc>
        <w:tc>
          <w:tcPr>
            <w:tcW w:w="3150" w:type="dxa"/>
          </w:tcPr>
          <w:p w:rsidR="002476F1" w:rsidRPr="00E1143A" w:rsidRDefault="002476F1" w:rsidP="006F3243">
            <w:pPr>
              <w:spacing w:before="13" w:line="266" w:lineRule="exact"/>
              <w:ind w:left="153" w:right="137"/>
              <w:jc w:val="center"/>
            </w:pPr>
            <w:r>
              <w:t>41%</w:t>
            </w:r>
          </w:p>
        </w:tc>
        <w:tc>
          <w:tcPr>
            <w:tcW w:w="3150" w:type="dxa"/>
          </w:tcPr>
          <w:p w:rsidR="002476F1" w:rsidRDefault="002476F1" w:rsidP="002476F1">
            <w:pPr>
              <w:spacing w:before="13" w:line="266" w:lineRule="exact"/>
              <w:ind w:left="153" w:right="137"/>
              <w:jc w:val="center"/>
            </w:pPr>
            <w:r>
              <w:t>22329</w:t>
            </w:r>
          </w:p>
        </w:tc>
      </w:tr>
      <w:tr w:rsidR="002476F1" w:rsidRPr="00E1143A" w:rsidTr="00A72BF6">
        <w:trPr>
          <w:trHeight w:val="824"/>
        </w:trPr>
        <w:tc>
          <w:tcPr>
            <w:tcW w:w="3150" w:type="dxa"/>
          </w:tcPr>
          <w:p w:rsidR="002476F1" w:rsidRDefault="002476F1" w:rsidP="006F3243">
            <w:pPr>
              <w:spacing w:before="13" w:line="266" w:lineRule="exact"/>
              <w:ind w:left="150" w:right="120"/>
              <w:jc w:val="center"/>
            </w:pPr>
          </w:p>
          <w:p w:rsidR="002476F1" w:rsidRDefault="002476F1" w:rsidP="006F3243">
            <w:pPr>
              <w:spacing w:before="13" w:line="266" w:lineRule="exact"/>
              <w:ind w:left="150" w:right="120"/>
              <w:jc w:val="center"/>
            </w:pPr>
            <w:r>
              <w:t>Retention</w:t>
            </w:r>
          </w:p>
        </w:tc>
        <w:tc>
          <w:tcPr>
            <w:tcW w:w="3150" w:type="dxa"/>
          </w:tcPr>
          <w:p w:rsidR="002476F1" w:rsidRDefault="002476F1" w:rsidP="006F3243">
            <w:pPr>
              <w:spacing w:before="13" w:line="266" w:lineRule="exact"/>
              <w:ind w:left="153" w:right="137"/>
              <w:jc w:val="center"/>
            </w:pPr>
            <w:r>
              <w:t>67%</w:t>
            </w:r>
          </w:p>
        </w:tc>
        <w:tc>
          <w:tcPr>
            <w:tcW w:w="3150" w:type="dxa"/>
          </w:tcPr>
          <w:p w:rsidR="002476F1" w:rsidRDefault="002476F1" w:rsidP="002476F1">
            <w:pPr>
              <w:spacing w:before="13" w:line="266" w:lineRule="exact"/>
              <w:ind w:left="153" w:right="137"/>
              <w:jc w:val="center"/>
            </w:pPr>
            <w:r>
              <w:t>13590</w:t>
            </w:r>
          </w:p>
        </w:tc>
      </w:tr>
      <w:tr w:rsidR="002476F1" w:rsidRPr="00E1143A" w:rsidTr="00A72BF6">
        <w:trPr>
          <w:trHeight w:val="824"/>
        </w:trPr>
        <w:tc>
          <w:tcPr>
            <w:tcW w:w="3150" w:type="dxa"/>
          </w:tcPr>
          <w:p w:rsidR="002476F1" w:rsidRDefault="002476F1" w:rsidP="006F3243">
            <w:pPr>
              <w:spacing w:before="13" w:line="266" w:lineRule="exact"/>
              <w:ind w:left="150" w:right="120"/>
              <w:jc w:val="center"/>
            </w:pPr>
            <w:r>
              <w:t>Completion of Transfer-level math and English</w:t>
            </w:r>
          </w:p>
        </w:tc>
        <w:tc>
          <w:tcPr>
            <w:tcW w:w="3150" w:type="dxa"/>
          </w:tcPr>
          <w:p w:rsidR="002476F1" w:rsidRDefault="002476F1" w:rsidP="006F3243">
            <w:pPr>
              <w:spacing w:before="13" w:line="266" w:lineRule="exact"/>
              <w:ind w:left="153" w:right="137"/>
              <w:jc w:val="center"/>
            </w:pPr>
            <w:r>
              <w:t>6.28%</w:t>
            </w:r>
          </w:p>
        </w:tc>
        <w:tc>
          <w:tcPr>
            <w:tcW w:w="3150" w:type="dxa"/>
          </w:tcPr>
          <w:p w:rsidR="002476F1" w:rsidRDefault="002476F1" w:rsidP="002476F1">
            <w:pPr>
              <w:spacing w:before="13" w:line="266" w:lineRule="exact"/>
              <w:ind w:left="153" w:right="137"/>
              <w:jc w:val="center"/>
            </w:pPr>
            <w:r>
              <w:t>254</w:t>
            </w:r>
          </w:p>
        </w:tc>
      </w:tr>
      <w:tr w:rsidR="002476F1" w:rsidRPr="00E1143A" w:rsidTr="00A72BF6">
        <w:trPr>
          <w:trHeight w:val="824"/>
        </w:trPr>
        <w:tc>
          <w:tcPr>
            <w:tcW w:w="3150" w:type="dxa"/>
          </w:tcPr>
          <w:p w:rsidR="002476F1" w:rsidRDefault="002476F1" w:rsidP="006F3243">
            <w:pPr>
              <w:spacing w:before="13" w:line="266" w:lineRule="exact"/>
              <w:ind w:left="150" w:right="120"/>
              <w:jc w:val="center"/>
            </w:pPr>
            <w:r>
              <w:t>Attained state approved certificate or an associate degree</w:t>
            </w:r>
          </w:p>
        </w:tc>
        <w:tc>
          <w:tcPr>
            <w:tcW w:w="3150" w:type="dxa"/>
          </w:tcPr>
          <w:p w:rsidR="002476F1" w:rsidRDefault="002476F1" w:rsidP="006F3243">
            <w:pPr>
              <w:spacing w:before="13" w:line="266" w:lineRule="exact"/>
              <w:ind w:left="153" w:right="137"/>
              <w:jc w:val="center"/>
            </w:pPr>
            <w:r>
              <w:t>5.5%</w:t>
            </w:r>
          </w:p>
        </w:tc>
        <w:tc>
          <w:tcPr>
            <w:tcW w:w="3150" w:type="dxa"/>
          </w:tcPr>
          <w:p w:rsidR="002476F1" w:rsidRDefault="002476F1" w:rsidP="002476F1">
            <w:pPr>
              <w:spacing w:before="13" w:line="266" w:lineRule="exact"/>
              <w:ind w:left="153" w:right="137"/>
              <w:jc w:val="center"/>
            </w:pPr>
            <w:r>
              <w:t>1567</w:t>
            </w:r>
          </w:p>
        </w:tc>
      </w:tr>
      <w:tr w:rsidR="002476F1" w:rsidRPr="00E1143A" w:rsidTr="00A72BF6">
        <w:trPr>
          <w:trHeight w:val="824"/>
        </w:trPr>
        <w:tc>
          <w:tcPr>
            <w:tcW w:w="3150" w:type="dxa"/>
          </w:tcPr>
          <w:p w:rsidR="002476F1" w:rsidRDefault="002476F1" w:rsidP="006F3243">
            <w:pPr>
              <w:spacing w:before="13" w:line="266" w:lineRule="exact"/>
              <w:ind w:left="150" w:right="120"/>
              <w:jc w:val="center"/>
            </w:pPr>
          </w:p>
          <w:p w:rsidR="002476F1" w:rsidRDefault="002476F1" w:rsidP="006F3243">
            <w:pPr>
              <w:spacing w:before="13" w:line="266" w:lineRule="exact"/>
              <w:ind w:left="150" w:right="120"/>
              <w:jc w:val="center"/>
            </w:pPr>
            <w:r>
              <w:t>Transfer to a four-year institution</w:t>
            </w:r>
          </w:p>
        </w:tc>
        <w:tc>
          <w:tcPr>
            <w:tcW w:w="3150" w:type="dxa"/>
          </w:tcPr>
          <w:p w:rsidR="002476F1" w:rsidRDefault="002476F1" w:rsidP="006F3243">
            <w:pPr>
              <w:spacing w:before="13" w:line="266" w:lineRule="exact"/>
              <w:ind w:left="153" w:right="137"/>
              <w:jc w:val="center"/>
            </w:pPr>
            <w:r>
              <w:t>8%</w:t>
            </w:r>
          </w:p>
        </w:tc>
        <w:tc>
          <w:tcPr>
            <w:tcW w:w="3150" w:type="dxa"/>
          </w:tcPr>
          <w:p w:rsidR="002476F1" w:rsidRDefault="002476F1" w:rsidP="002476F1">
            <w:pPr>
              <w:spacing w:before="13" w:line="266" w:lineRule="exact"/>
              <w:ind w:left="153" w:right="137"/>
              <w:jc w:val="center"/>
            </w:pPr>
            <w:r>
              <w:t>2394</w:t>
            </w:r>
          </w:p>
        </w:tc>
      </w:tr>
    </w:tbl>
    <w:p w:rsidR="00BC49FE" w:rsidRDefault="00BC49FE" w:rsidP="00BC49FE">
      <w:pPr>
        <w:ind w:left="920" w:right="983"/>
      </w:pPr>
    </w:p>
    <w:p w:rsidR="006F3243" w:rsidRDefault="006F3243" w:rsidP="006F3243">
      <w:pPr>
        <w:pStyle w:val="BodyText"/>
        <w:spacing w:before="1"/>
        <w:ind w:left="900" w:right="960"/>
        <w:rPr>
          <w:sz w:val="22"/>
        </w:rPr>
      </w:pPr>
      <w:r>
        <w:rPr>
          <w:sz w:val="22"/>
        </w:rPr>
        <w:t xml:space="preserve">Based on this data, this </w:t>
      </w:r>
      <w:r w:rsidR="007649A6">
        <w:rPr>
          <w:sz w:val="22"/>
        </w:rPr>
        <w:t>Equity Plan</w:t>
      </w:r>
      <w:r>
        <w:rPr>
          <w:sz w:val="22"/>
        </w:rPr>
        <w:t xml:space="preserve"> will focus on</w:t>
      </w:r>
      <w:r w:rsidR="00E25F2B">
        <w:rPr>
          <w:sz w:val="22"/>
        </w:rPr>
        <w:t xml:space="preserve"> meeting these 5 overarching goals:</w:t>
      </w:r>
      <w:r>
        <w:rPr>
          <w:sz w:val="22"/>
        </w:rPr>
        <w:t xml:space="preserve"> </w:t>
      </w:r>
    </w:p>
    <w:p w:rsidR="006F3243" w:rsidRDefault="006F3243" w:rsidP="006F3243">
      <w:pPr>
        <w:pStyle w:val="BodyText"/>
        <w:spacing w:before="1"/>
        <w:ind w:left="900" w:right="960"/>
        <w:rPr>
          <w:sz w:val="22"/>
        </w:rPr>
      </w:pPr>
    </w:p>
    <w:p w:rsidR="006F3243" w:rsidRDefault="006F3243" w:rsidP="00E25F2B">
      <w:pPr>
        <w:pStyle w:val="BodyText"/>
        <w:numPr>
          <w:ilvl w:val="0"/>
          <w:numId w:val="20"/>
        </w:numPr>
        <w:spacing w:before="1"/>
        <w:ind w:right="960"/>
        <w:rPr>
          <w:sz w:val="22"/>
        </w:rPr>
      </w:pPr>
      <w:r>
        <w:rPr>
          <w:sz w:val="22"/>
        </w:rPr>
        <w:t xml:space="preserve">Increase successful student enrollment </w:t>
      </w:r>
      <w:r w:rsidR="00C542FA">
        <w:rPr>
          <w:sz w:val="22"/>
        </w:rPr>
        <w:t>to 25,623</w:t>
      </w:r>
      <w:r>
        <w:rPr>
          <w:sz w:val="22"/>
        </w:rPr>
        <w:t xml:space="preserve"> by 2022</w:t>
      </w:r>
      <w:r w:rsidR="00C542FA">
        <w:rPr>
          <w:sz w:val="22"/>
        </w:rPr>
        <w:t>, an increase of 14.7% from the current baseline and overall increase of 6%</w:t>
      </w:r>
      <w:r>
        <w:rPr>
          <w:sz w:val="22"/>
        </w:rPr>
        <w:t>.</w:t>
      </w:r>
    </w:p>
    <w:p w:rsidR="006F3243" w:rsidRDefault="006F3243" w:rsidP="00E25F2B">
      <w:pPr>
        <w:pStyle w:val="BodyText"/>
        <w:numPr>
          <w:ilvl w:val="0"/>
          <w:numId w:val="20"/>
        </w:numPr>
        <w:spacing w:before="1"/>
        <w:ind w:right="960"/>
        <w:rPr>
          <w:sz w:val="22"/>
        </w:rPr>
      </w:pPr>
      <w:r>
        <w:rPr>
          <w:sz w:val="22"/>
        </w:rPr>
        <w:t xml:space="preserve">Increase fall to spring retention </w:t>
      </w:r>
      <w:r w:rsidR="00C542FA">
        <w:rPr>
          <w:sz w:val="22"/>
        </w:rPr>
        <w:t xml:space="preserve">to 14,207 </w:t>
      </w:r>
      <w:r>
        <w:rPr>
          <w:sz w:val="22"/>
        </w:rPr>
        <w:t>by 2022</w:t>
      </w:r>
      <w:r w:rsidR="00C542FA">
        <w:rPr>
          <w:sz w:val="22"/>
        </w:rPr>
        <w:t xml:space="preserve">, an increase of </w:t>
      </w:r>
      <w:r w:rsidR="00273078">
        <w:rPr>
          <w:sz w:val="22"/>
        </w:rPr>
        <w:t xml:space="preserve">4.5% from the current baseline and overall increase of </w:t>
      </w:r>
      <w:r w:rsidR="00C542FA">
        <w:rPr>
          <w:sz w:val="22"/>
        </w:rPr>
        <w:t>3%</w:t>
      </w:r>
    </w:p>
    <w:p w:rsidR="006F3243" w:rsidRDefault="006F3243" w:rsidP="00E25F2B">
      <w:pPr>
        <w:pStyle w:val="BodyText"/>
        <w:numPr>
          <w:ilvl w:val="0"/>
          <w:numId w:val="20"/>
        </w:numPr>
        <w:spacing w:before="1"/>
        <w:ind w:right="960"/>
        <w:rPr>
          <w:sz w:val="22"/>
        </w:rPr>
      </w:pPr>
      <w:r>
        <w:rPr>
          <w:sz w:val="22"/>
        </w:rPr>
        <w:t xml:space="preserve">Increase the rate at which students complete transfer level math and English during their first year </w:t>
      </w:r>
      <w:r w:rsidR="00273078">
        <w:rPr>
          <w:sz w:val="22"/>
        </w:rPr>
        <w:t>to 566, an increase of 122% from the current baseline and overall increase of 6%, by 2022.</w:t>
      </w:r>
    </w:p>
    <w:p w:rsidR="006F3243" w:rsidRDefault="006F3243" w:rsidP="00E25F2B">
      <w:pPr>
        <w:pStyle w:val="BodyText"/>
        <w:numPr>
          <w:ilvl w:val="0"/>
          <w:numId w:val="20"/>
        </w:numPr>
        <w:spacing w:before="1"/>
        <w:ind w:right="960"/>
        <w:rPr>
          <w:sz w:val="22"/>
        </w:rPr>
      </w:pPr>
      <w:r>
        <w:rPr>
          <w:sz w:val="22"/>
        </w:rPr>
        <w:t xml:space="preserve">Increase the number of certificates and associate degrees awarded </w:t>
      </w:r>
      <w:r w:rsidR="00273078">
        <w:rPr>
          <w:sz w:val="22"/>
        </w:rPr>
        <w:t xml:space="preserve">to 3,303, an increase of 110% from the current baseline and overall increase of </w:t>
      </w:r>
      <w:r w:rsidR="00E25F2B">
        <w:rPr>
          <w:sz w:val="22"/>
        </w:rPr>
        <w:t>6</w:t>
      </w:r>
      <w:r w:rsidR="00273078">
        <w:rPr>
          <w:sz w:val="22"/>
        </w:rPr>
        <w:t xml:space="preserve">% </w:t>
      </w:r>
      <w:r>
        <w:rPr>
          <w:sz w:val="22"/>
        </w:rPr>
        <w:t>by 2022.</w:t>
      </w:r>
    </w:p>
    <w:p w:rsidR="006F3243" w:rsidRDefault="006F3243" w:rsidP="00E25F2B">
      <w:pPr>
        <w:pStyle w:val="BodyText"/>
        <w:numPr>
          <w:ilvl w:val="0"/>
          <w:numId w:val="20"/>
        </w:numPr>
        <w:spacing w:before="1"/>
        <w:ind w:right="960"/>
        <w:rPr>
          <w:sz w:val="22"/>
        </w:rPr>
      </w:pPr>
      <w:r>
        <w:rPr>
          <w:sz w:val="22"/>
        </w:rPr>
        <w:t xml:space="preserve">Increase the overall rate of transfer </w:t>
      </w:r>
      <w:r w:rsidR="00273078">
        <w:rPr>
          <w:sz w:val="22"/>
        </w:rPr>
        <w:t xml:space="preserve">4,196 by 2022, an increase of 75% from the current baseline and overall increase of 8%. </w:t>
      </w:r>
    </w:p>
    <w:p w:rsidR="00C62B4D" w:rsidRDefault="00C62B4D" w:rsidP="00E1143A">
      <w:pPr>
        <w:ind w:left="920"/>
        <w:rPr>
          <w:b/>
        </w:rPr>
      </w:pPr>
    </w:p>
    <w:p w:rsidR="00E1143A" w:rsidRPr="00657396" w:rsidRDefault="00E1143A" w:rsidP="00273078">
      <w:pPr>
        <w:pStyle w:val="Heading6"/>
        <w:numPr>
          <w:ilvl w:val="0"/>
          <w:numId w:val="28"/>
        </w:numPr>
      </w:pPr>
      <w:bookmarkStart w:id="2" w:name="_Hlk8034333"/>
      <w:r w:rsidRPr="00657396">
        <w:t>Target Groups</w:t>
      </w:r>
    </w:p>
    <w:p w:rsidR="00E1143A" w:rsidRPr="00E1143A" w:rsidRDefault="00E1143A" w:rsidP="00E1143A">
      <w:pPr>
        <w:spacing w:before="11"/>
        <w:rPr>
          <w:b/>
          <w:sz w:val="21"/>
          <w:szCs w:val="24"/>
        </w:rPr>
      </w:pPr>
    </w:p>
    <w:p w:rsidR="001315FB" w:rsidRDefault="00EF4E54" w:rsidP="001315FB">
      <w:pPr>
        <w:ind w:left="920" w:right="1074"/>
      </w:pPr>
      <w:r>
        <w:t>Using the data provided by the C</w:t>
      </w:r>
      <w:r w:rsidR="00FC67EC">
        <w:t>C</w:t>
      </w:r>
      <w:r>
        <w:t>CCO’s MIS and w</w:t>
      </w:r>
      <w:r w:rsidR="007F126D">
        <w:t>orking in collaboration with our Office of Inst</w:t>
      </w:r>
      <w:r>
        <w:t>it</w:t>
      </w:r>
      <w:r w:rsidR="007F126D">
        <w:t xml:space="preserve">utional Effectiveness </w:t>
      </w:r>
      <w:r>
        <w:t xml:space="preserve">to use the percentage point gap method (PPG), Pierce College has identified </w:t>
      </w:r>
      <w:r w:rsidRPr="00E1143A">
        <w:t xml:space="preserve">several disproportionately impacted student groups </w:t>
      </w:r>
      <w:r w:rsidR="003700A4">
        <w:t>that</w:t>
      </w:r>
      <w:r w:rsidRPr="00E1143A">
        <w:t xml:space="preserve"> achieve success at significantly lower rates than the identified college baseline rate. </w:t>
      </w:r>
      <w:r w:rsidR="00E40D25">
        <w:t>The PPG methodology compares the percent of students in a disaggregated subgroup who succeed in an outcome with the percent of all students who succeed in the same outcome. PPG measurements are calculated by subtracting the all student average success rate (%) from the success rate (%) of a disaggregated subgroup in the same outcome. Any specific student population with a gap 2% or larger is listed below.  Groups</w:t>
      </w:r>
      <w:r w:rsidR="00273078">
        <w:t xml:space="preserve"> </w:t>
      </w:r>
      <w:r w:rsidR="00E40D25">
        <w:t>have</w:t>
      </w:r>
      <w:r>
        <w:t xml:space="preserve"> been disaggregated by gender, </w:t>
      </w:r>
      <w:r w:rsidR="00E1143A" w:rsidRPr="00E1143A">
        <w:t xml:space="preserve">ethnicity, disability status, foster youth status, veteran status, and </w:t>
      </w:r>
      <w:r>
        <w:t xml:space="preserve">LGBTQ status in the areas of access, retention, successful completion of transfer-level math and English, achievement of a certificate or degree and transfer to a </w:t>
      </w:r>
      <w:r w:rsidR="006F3243">
        <w:t>four-year</w:t>
      </w:r>
      <w:r>
        <w:t xml:space="preserve"> institution. </w:t>
      </w:r>
    </w:p>
    <w:p w:rsidR="00C62B4D" w:rsidRDefault="00C62B4D" w:rsidP="00E1143A">
      <w:pPr>
        <w:ind w:left="920" w:right="1074"/>
      </w:pPr>
    </w:p>
    <w:p w:rsidR="001315FB" w:rsidRDefault="001315FB">
      <w:r>
        <w:br w:type="page"/>
      </w:r>
    </w:p>
    <w:p w:rsidR="00253918" w:rsidRPr="00C62B4D" w:rsidRDefault="00253918" w:rsidP="005A6DD3">
      <w:pPr>
        <w:ind w:left="920" w:right="1074"/>
        <w:rPr>
          <w:b/>
        </w:rPr>
      </w:pPr>
      <w:r w:rsidRPr="00C62B4D">
        <w:rPr>
          <w:b/>
        </w:rPr>
        <w:t xml:space="preserve">Table </w:t>
      </w:r>
      <w:r w:rsidR="00C62B4D" w:rsidRPr="00C62B4D">
        <w:rPr>
          <w:b/>
        </w:rPr>
        <w:t>4.1</w:t>
      </w:r>
      <w:r w:rsidRPr="00C62B4D">
        <w:rPr>
          <w:b/>
        </w:rPr>
        <w:t xml:space="preserve"> Pierce College’s disproportionately impacted student groups for each success metric </w:t>
      </w:r>
    </w:p>
    <w:tbl>
      <w:tblPr>
        <w:tblStyle w:val="TableGrid"/>
        <w:tblW w:w="0" w:type="auto"/>
        <w:tblInd w:w="707" w:type="dxa"/>
        <w:tblLayout w:type="fixed"/>
        <w:tblLook w:val="01E0" w:firstRow="1" w:lastRow="1" w:firstColumn="1" w:lastColumn="1" w:noHBand="0" w:noVBand="0"/>
        <w:tblCaption w:val="Pierce College disproportionately impacted student groups"/>
        <w:tblDescription w:val="Pierce College disproportionately impacted student groups"/>
      </w:tblPr>
      <w:tblGrid>
        <w:gridCol w:w="3886"/>
        <w:gridCol w:w="5490"/>
      </w:tblGrid>
      <w:tr w:rsidR="00EF4E54" w:rsidRPr="00E1143A" w:rsidTr="00A72BF6">
        <w:trPr>
          <w:trHeight w:val="299"/>
        </w:trPr>
        <w:tc>
          <w:tcPr>
            <w:tcW w:w="3886" w:type="dxa"/>
          </w:tcPr>
          <w:p w:rsidR="00EF4E54" w:rsidRPr="00E1143A" w:rsidRDefault="00EF4E54" w:rsidP="005A6DD3">
            <w:pPr>
              <w:ind w:left="1168"/>
              <w:rPr>
                <w:b/>
              </w:rPr>
            </w:pPr>
            <w:bookmarkStart w:id="3" w:name="_Hlk7680916"/>
            <w:bookmarkStart w:id="4" w:name="_Hlk7706459"/>
            <w:r w:rsidRPr="00E1143A">
              <w:rPr>
                <w:b/>
              </w:rPr>
              <w:t>Success Me</w:t>
            </w:r>
            <w:r w:rsidR="001209CB">
              <w:rPr>
                <w:b/>
              </w:rPr>
              <w:t>tric</w:t>
            </w:r>
          </w:p>
        </w:tc>
        <w:tc>
          <w:tcPr>
            <w:tcW w:w="5490" w:type="dxa"/>
          </w:tcPr>
          <w:p w:rsidR="00EF4E54" w:rsidRPr="00E1143A" w:rsidRDefault="00253918" w:rsidP="005A6DD3">
            <w:pPr>
              <w:ind w:left="153" w:right="141"/>
              <w:jc w:val="center"/>
              <w:rPr>
                <w:b/>
              </w:rPr>
            </w:pPr>
            <w:r>
              <w:rPr>
                <w:b/>
              </w:rPr>
              <w:t>Disproportionately Impacted</w:t>
            </w:r>
            <w:r w:rsidR="00EF4E54" w:rsidRPr="00E1143A">
              <w:rPr>
                <w:b/>
              </w:rPr>
              <w:t xml:space="preserve"> Student Groups</w:t>
            </w:r>
          </w:p>
        </w:tc>
      </w:tr>
      <w:bookmarkEnd w:id="3"/>
      <w:tr w:rsidR="00EF4E54" w:rsidRPr="00E1143A" w:rsidTr="00A72BF6">
        <w:trPr>
          <w:trHeight w:val="299"/>
        </w:trPr>
        <w:tc>
          <w:tcPr>
            <w:tcW w:w="3886" w:type="dxa"/>
          </w:tcPr>
          <w:p w:rsidR="00C902D6" w:rsidRDefault="00C902D6" w:rsidP="006F3243">
            <w:pPr>
              <w:spacing w:before="13" w:line="266" w:lineRule="exact"/>
              <w:ind w:left="150" w:right="120"/>
            </w:pPr>
          </w:p>
          <w:p w:rsidR="00C902D6" w:rsidRDefault="00C902D6" w:rsidP="006F3243">
            <w:pPr>
              <w:spacing w:before="13" w:line="266" w:lineRule="exact"/>
              <w:ind w:left="150" w:right="120"/>
            </w:pPr>
          </w:p>
          <w:p w:rsidR="00EF4E54" w:rsidRPr="00E1143A" w:rsidRDefault="001209CB" w:rsidP="006F3243">
            <w:pPr>
              <w:spacing w:before="13" w:line="266" w:lineRule="exact"/>
              <w:ind w:left="150" w:right="120"/>
            </w:pPr>
            <w:r>
              <w:t xml:space="preserve">Successful Enrollment </w:t>
            </w:r>
          </w:p>
        </w:tc>
        <w:tc>
          <w:tcPr>
            <w:tcW w:w="5490" w:type="dxa"/>
          </w:tcPr>
          <w:p w:rsidR="001209CB" w:rsidRDefault="001209CB" w:rsidP="001209CB">
            <w:pPr>
              <w:spacing w:before="13" w:line="266" w:lineRule="exact"/>
              <w:ind w:left="153" w:right="137"/>
            </w:pPr>
            <w:r>
              <w:t>Female American Indian or Alaska Native students</w:t>
            </w:r>
          </w:p>
          <w:p w:rsidR="001209CB" w:rsidRDefault="001209CB" w:rsidP="001209CB">
            <w:pPr>
              <w:spacing w:before="13" w:line="266" w:lineRule="exact"/>
              <w:ind w:left="153" w:right="137"/>
            </w:pPr>
            <w:r>
              <w:t>African American or Black students</w:t>
            </w:r>
          </w:p>
          <w:p w:rsidR="001209CB" w:rsidRDefault="001209CB" w:rsidP="001209CB">
            <w:pPr>
              <w:spacing w:before="13" w:line="266" w:lineRule="exact"/>
              <w:ind w:left="153" w:right="137"/>
            </w:pPr>
            <w:r>
              <w:t>Male Pacific Islander students</w:t>
            </w:r>
          </w:p>
          <w:p w:rsidR="001209CB" w:rsidRDefault="001209CB" w:rsidP="001209CB">
            <w:pPr>
              <w:spacing w:before="13" w:line="266" w:lineRule="exact"/>
              <w:ind w:left="153" w:right="137"/>
            </w:pPr>
            <w:r>
              <w:t>Female students who identify as former foster youth</w:t>
            </w:r>
          </w:p>
          <w:p w:rsidR="00EF4E54" w:rsidRDefault="001209CB" w:rsidP="001209CB">
            <w:pPr>
              <w:spacing w:before="13" w:line="266" w:lineRule="exact"/>
              <w:ind w:left="153" w:right="137"/>
            </w:pPr>
            <w:r>
              <w:t>Students who identify as LGBTQ</w:t>
            </w:r>
          </w:p>
          <w:p w:rsidR="00340773" w:rsidRPr="00E1143A" w:rsidRDefault="00340773" w:rsidP="001209CB">
            <w:pPr>
              <w:spacing w:before="13" w:line="266" w:lineRule="exact"/>
              <w:ind w:left="153" w:right="137"/>
            </w:pPr>
            <w:r>
              <w:t>Female Veteran students</w:t>
            </w:r>
          </w:p>
        </w:tc>
      </w:tr>
      <w:bookmarkEnd w:id="4"/>
      <w:tr w:rsidR="00EF4E54" w:rsidRPr="00E1143A" w:rsidTr="00A72BF6">
        <w:trPr>
          <w:trHeight w:val="299"/>
        </w:trPr>
        <w:tc>
          <w:tcPr>
            <w:tcW w:w="3886" w:type="dxa"/>
          </w:tcPr>
          <w:p w:rsidR="00C902D6" w:rsidRDefault="00C902D6" w:rsidP="006F3243">
            <w:pPr>
              <w:spacing w:before="13" w:line="266" w:lineRule="exact"/>
              <w:ind w:left="1086"/>
            </w:pPr>
          </w:p>
          <w:p w:rsidR="006F3243" w:rsidRDefault="006F3243" w:rsidP="006F3243">
            <w:pPr>
              <w:spacing w:before="13" w:line="266" w:lineRule="exact"/>
              <w:ind w:left="1086"/>
            </w:pPr>
          </w:p>
          <w:p w:rsidR="00EF4E54" w:rsidRPr="00E1143A" w:rsidRDefault="001209CB" w:rsidP="006F3243">
            <w:pPr>
              <w:spacing w:before="13" w:line="266" w:lineRule="exact"/>
              <w:ind w:left="150"/>
            </w:pPr>
            <w:r>
              <w:t>Retention</w:t>
            </w:r>
          </w:p>
        </w:tc>
        <w:tc>
          <w:tcPr>
            <w:tcW w:w="5490" w:type="dxa"/>
          </w:tcPr>
          <w:p w:rsidR="00A959DE" w:rsidRDefault="00A959DE" w:rsidP="001209CB">
            <w:pPr>
              <w:spacing w:before="13" w:line="266" w:lineRule="exact"/>
              <w:ind w:left="152" w:right="141"/>
            </w:pPr>
            <w:r>
              <w:t>American Indian or Alask</w:t>
            </w:r>
            <w:r w:rsidR="00C902D6">
              <w:t>a</w:t>
            </w:r>
            <w:r>
              <w:t xml:space="preserve"> Native students</w:t>
            </w:r>
          </w:p>
          <w:p w:rsidR="00A959DE" w:rsidRDefault="00023C52" w:rsidP="001209CB">
            <w:pPr>
              <w:spacing w:before="13" w:line="266" w:lineRule="exact"/>
              <w:ind w:left="152" w:right="141"/>
            </w:pPr>
            <w:r>
              <w:t>African American or Black</w:t>
            </w:r>
            <w:r w:rsidR="00A959DE">
              <w:t xml:space="preserve"> students</w:t>
            </w:r>
          </w:p>
          <w:p w:rsidR="00A959DE" w:rsidRDefault="00A959DE" w:rsidP="001209CB">
            <w:pPr>
              <w:spacing w:before="13" w:line="266" w:lineRule="exact"/>
              <w:ind w:left="152" w:right="141"/>
            </w:pPr>
            <w:r>
              <w:t>Hispanic or Latinx students</w:t>
            </w:r>
          </w:p>
          <w:p w:rsidR="00A959DE" w:rsidRDefault="00A959DE" w:rsidP="001209CB">
            <w:pPr>
              <w:spacing w:before="13" w:line="266" w:lineRule="exact"/>
              <w:ind w:left="152" w:right="141"/>
            </w:pPr>
            <w:r>
              <w:t>Male students who identify as LGBTQ</w:t>
            </w:r>
          </w:p>
          <w:p w:rsidR="00A959DE" w:rsidRDefault="00A959DE" w:rsidP="001209CB">
            <w:pPr>
              <w:spacing w:before="13" w:line="266" w:lineRule="exact"/>
              <w:ind w:left="152" w:right="141"/>
            </w:pPr>
            <w:r>
              <w:t>Students who identify as Foster Youth</w:t>
            </w:r>
          </w:p>
          <w:p w:rsidR="00EF4E54" w:rsidRPr="00E1143A" w:rsidRDefault="00A959DE" w:rsidP="001209CB">
            <w:pPr>
              <w:spacing w:before="13" w:line="266" w:lineRule="exact"/>
              <w:ind w:left="152" w:right="141"/>
            </w:pPr>
            <w:r>
              <w:t>Female Veteran students</w:t>
            </w:r>
          </w:p>
        </w:tc>
      </w:tr>
      <w:tr w:rsidR="00EF4E54" w:rsidRPr="00E1143A" w:rsidTr="00A72BF6">
        <w:trPr>
          <w:trHeight w:val="300"/>
        </w:trPr>
        <w:tc>
          <w:tcPr>
            <w:tcW w:w="3886" w:type="dxa"/>
          </w:tcPr>
          <w:p w:rsidR="00EF4E54" w:rsidRPr="00E1143A" w:rsidRDefault="001209CB" w:rsidP="006F3243">
            <w:pPr>
              <w:spacing w:before="14" w:line="266" w:lineRule="exact"/>
              <w:ind w:left="280" w:right="300"/>
            </w:pPr>
            <w:r>
              <w:t>Completion of transfer-level English and math</w:t>
            </w:r>
          </w:p>
        </w:tc>
        <w:tc>
          <w:tcPr>
            <w:tcW w:w="5490" w:type="dxa"/>
          </w:tcPr>
          <w:p w:rsidR="0026362D" w:rsidRPr="00023C52" w:rsidRDefault="0026362D" w:rsidP="0026362D">
            <w:pPr>
              <w:spacing w:before="13" w:line="266" w:lineRule="exact"/>
              <w:ind w:left="153" w:right="137"/>
            </w:pPr>
            <w:r w:rsidRPr="00023C52">
              <w:t>African American or Black students</w:t>
            </w:r>
          </w:p>
          <w:p w:rsidR="00023C52" w:rsidRPr="00023C52" w:rsidRDefault="00023C52" w:rsidP="0026362D">
            <w:pPr>
              <w:spacing w:before="13" w:line="266" w:lineRule="exact"/>
              <w:ind w:left="153" w:right="137"/>
            </w:pPr>
            <w:r w:rsidRPr="00023C52">
              <w:t>Pacific Islander students</w:t>
            </w:r>
          </w:p>
          <w:p w:rsidR="00023C52" w:rsidRPr="00023C52" w:rsidRDefault="00023C52" w:rsidP="0026362D">
            <w:pPr>
              <w:spacing w:before="13" w:line="266" w:lineRule="exact"/>
              <w:ind w:left="153" w:right="137"/>
            </w:pPr>
            <w:r w:rsidRPr="00023C52">
              <w:t>Female students who identify as LGBTQ</w:t>
            </w:r>
          </w:p>
          <w:p w:rsidR="00023C52" w:rsidRPr="00023C52" w:rsidRDefault="00023C52" w:rsidP="0026362D">
            <w:pPr>
              <w:spacing w:before="13" w:line="266" w:lineRule="exact"/>
              <w:ind w:left="153" w:right="137"/>
            </w:pPr>
            <w:r w:rsidRPr="00023C52">
              <w:t>Disabled students</w:t>
            </w:r>
          </w:p>
          <w:p w:rsidR="00EF4E54" w:rsidRPr="00023C52" w:rsidRDefault="00023C52" w:rsidP="00023C52">
            <w:pPr>
              <w:spacing w:before="13" w:line="266" w:lineRule="exact"/>
              <w:ind w:left="153" w:right="137"/>
              <w:rPr>
                <w:i/>
              </w:rPr>
            </w:pPr>
            <w:r w:rsidRPr="00023C52">
              <w:t>Students who identify as foster youth (or former)</w:t>
            </w:r>
          </w:p>
        </w:tc>
      </w:tr>
      <w:tr w:rsidR="00EF4E54" w:rsidRPr="00E1143A" w:rsidTr="00A72BF6">
        <w:trPr>
          <w:trHeight w:val="301"/>
        </w:trPr>
        <w:tc>
          <w:tcPr>
            <w:tcW w:w="3886" w:type="dxa"/>
          </w:tcPr>
          <w:p w:rsidR="00EF4E54" w:rsidRPr="00E1143A" w:rsidRDefault="001209CB" w:rsidP="006F3243">
            <w:pPr>
              <w:spacing w:before="13"/>
              <w:ind w:left="240" w:right="100"/>
            </w:pPr>
            <w:r>
              <w:t>Attain</w:t>
            </w:r>
            <w:r w:rsidR="006F3243">
              <w:t>ment of a state approved certificate or degree</w:t>
            </w:r>
          </w:p>
        </w:tc>
        <w:tc>
          <w:tcPr>
            <w:tcW w:w="5490" w:type="dxa"/>
          </w:tcPr>
          <w:p w:rsidR="00023C52" w:rsidRDefault="00023C52" w:rsidP="001209CB">
            <w:pPr>
              <w:spacing w:before="13"/>
              <w:ind w:left="152" w:right="141"/>
            </w:pPr>
            <w:r>
              <w:t>Female s</w:t>
            </w:r>
            <w:r w:rsidR="00EF4E54" w:rsidRPr="00E1143A">
              <w:t>tudents who are A</w:t>
            </w:r>
            <w:r>
              <w:t>merican Indian/Alaska Native</w:t>
            </w:r>
            <w:r w:rsidR="00EF4E54" w:rsidRPr="00E1143A">
              <w:t xml:space="preserve"> </w:t>
            </w:r>
            <w:r>
              <w:t>Male students who identify as LGBTQ</w:t>
            </w:r>
          </w:p>
          <w:p w:rsidR="00EF4E54" w:rsidRPr="00E1143A" w:rsidRDefault="00023C52" w:rsidP="001209CB">
            <w:pPr>
              <w:spacing w:before="13"/>
              <w:ind w:left="152" w:right="141"/>
            </w:pPr>
            <w:r>
              <w:t>Male students who identify as Veterans</w:t>
            </w:r>
          </w:p>
        </w:tc>
      </w:tr>
      <w:tr w:rsidR="00EF4E54" w:rsidRPr="00E1143A" w:rsidTr="00A72BF6">
        <w:trPr>
          <w:trHeight w:val="805"/>
        </w:trPr>
        <w:tc>
          <w:tcPr>
            <w:tcW w:w="3886" w:type="dxa"/>
          </w:tcPr>
          <w:p w:rsidR="00EF4E54" w:rsidRPr="00E1143A" w:rsidRDefault="00EF4E54" w:rsidP="006F3243">
            <w:pPr>
              <w:spacing w:before="9"/>
              <w:rPr>
                <w:sz w:val="21"/>
              </w:rPr>
            </w:pPr>
          </w:p>
          <w:p w:rsidR="00EF4E54" w:rsidRPr="00E1143A" w:rsidRDefault="00EF4E54" w:rsidP="006F3243">
            <w:pPr>
              <w:ind w:left="240" w:right="1536"/>
            </w:pPr>
            <w:r w:rsidRPr="00E1143A">
              <w:t>Transfer</w:t>
            </w:r>
          </w:p>
        </w:tc>
        <w:tc>
          <w:tcPr>
            <w:tcW w:w="5490" w:type="dxa"/>
          </w:tcPr>
          <w:p w:rsidR="00A959DE" w:rsidRDefault="00EF4E54" w:rsidP="001209CB">
            <w:pPr>
              <w:ind w:left="153" w:right="141"/>
            </w:pPr>
            <w:r w:rsidRPr="00E1143A">
              <w:t xml:space="preserve">Students </w:t>
            </w:r>
            <w:r w:rsidR="00A959DE">
              <w:t>identify as foster youth</w:t>
            </w:r>
          </w:p>
          <w:p w:rsidR="00EF4E54" w:rsidRPr="00E1143A" w:rsidRDefault="00A959DE" w:rsidP="00A959DE">
            <w:pPr>
              <w:ind w:left="153" w:right="141"/>
            </w:pPr>
            <w:r>
              <w:t>Students who identify at LGBTQ</w:t>
            </w:r>
          </w:p>
        </w:tc>
      </w:tr>
    </w:tbl>
    <w:p w:rsidR="00E1143A" w:rsidRDefault="00E1143A" w:rsidP="00E1143A">
      <w:pPr>
        <w:ind w:left="920" w:right="1074"/>
      </w:pPr>
    </w:p>
    <w:p w:rsidR="006B71FA" w:rsidRPr="00E1143A" w:rsidRDefault="006B71FA" w:rsidP="00E1143A">
      <w:pPr>
        <w:ind w:left="920" w:right="1074"/>
      </w:pPr>
    </w:p>
    <w:bookmarkEnd w:id="2"/>
    <w:p w:rsidR="00253918" w:rsidRDefault="00253918" w:rsidP="00E1143A">
      <w:pPr>
        <w:spacing w:before="37"/>
        <w:ind w:left="920"/>
        <w:rPr>
          <w:b/>
        </w:rPr>
      </w:pPr>
    </w:p>
    <w:p w:rsidR="00E1143A" w:rsidRPr="00657396" w:rsidRDefault="00E1143A" w:rsidP="00273078">
      <w:pPr>
        <w:pStyle w:val="Heading6"/>
        <w:numPr>
          <w:ilvl w:val="0"/>
          <w:numId w:val="28"/>
        </w:numPr>
      </w:pPr>
      <w:r w:rsidRPr="00657396">
        <w:t>Goals/Outcomes</w:t>
      </w:r>
    </w:p>
    <w:p w:rsidR="00274893" w:rsidRDefault="00A169CE" w:rsidP="001315FB">
      <w:pPr>
        <w:pStyle w:val="BodyText"/>
        <w:spacing w:before="1"/>
        <w:ind w:left="900"/>
        <w:rPr>
          <w:sz w:val="22"/>
        </w:rPr>
      </w:pPr>
      <w:r>
        <w:rPr>
          <w:sz w:val="22"/>
        </w:rPr>
        <w:t>The goals outlined in this plan are in alignment with the college’s Strategic Master Plan and are connected to specific activities that to increase the rate if student success in each metric area. While some activities are specific to one group and one area, many of these activities expand across areas and sometimes across student populations.</w:t>
      </w:r>
    </w:p>
    <w:p w:rsidR="001315FB" w:rsidRDefault="001315FB" w:rsidP="001315FB">
      <w:pPr>
        <w:pStyle w:val="BodyText"/>
        <w:spacing w:before="1"/>
        <w:ind w:left="900"/>
        <w:rPr>
          <w:sz w:val="22"/>
        </w:rPr>
      </w:pPr>
    </w:p>
    <w:p w:rsidR="00274893" w:rsidRPr="00567319" w:rsidRDefault="00274893" w:rsidP="00E25F2B">
      <w:pPr>
        <w:pStyle w:val="BodyText"/>
        <w:spacing w:before="1"/>
        <w:ind w:left="900"/>
        <w:rPr>
          <w:b/>
          <w:i/>
          <w:sz w:val="22"/>
        </w:rPr>
      </w:pPr>
      <w:r w:rsidRPr="00567319">
        <w:rPr>
          <w:b/>
          <w:i/>
          <w:sz w:val="22"/>
        </w:rPr>
        <w:t xml:space="preserve">METRIC 1: </w:t>
      </w:r>
      <w:r w:rsidR="00E25F2B" w:rsidRPr="00567319">
        <w:rPr>
          <w:b/>
          <w:i/>
          <w:sz w:val="22"/>
        </w:rPr>
        <w:t>SUCCESSFUL ENROLLMENT</w:t>
      </w:r>
      <w:r w:rsidR="00CF5256" w:rsidRPr="00567319">
        <w:rPr>
          <w:b/>
          <w:i/>
          <w:sz w:val="22"/>
        </w:rPr>
        <w:t xml:space="preserve"> </w:t>
      </w:r>
    </w:p>
    <w:p w:rsidR="00384A82" w:rsidRDefault="00274893" w:rsidP="00274893">
      <w:pPr>
        <w:pStyle w:val="BodyText"/>
        <w:spacing w:before="1"/>
        <w:ind w:left="900" w:right="420"/>
        <w:rPr>
          <w:sz w:val="22"/>
        </w:rPr>
      </w:pPr>
      <w:r>
        <w:rPr>
          <w:sz w:val="22"/>
        </w:rPr>
        <w:t>For this plan, successful enrol</w:t>
      </w:r>
      <w:r w:rsidR="00384A82">
        <w:rPr>
          <w:sz w:val="22"/>
        </w:rPr>
        <w:t>l</w:t>
      </w:r>
      <w:r>
        <w:rPr>
          <w:sz w:val="22"/>
        </w:rPr>
        <w:t xml:space="preserve">ment refers to students who successfully enroll in a course at the same college to which they </w:t>
      </w:r>
      <w:proofErr w:type="gramStart"/>
      <w:r>
        <w:rPr>
          <w:sz w:val="22"/>
        </w:rPr>
        <w:t>submit an application</w:t>
      </w:r>
      <w:proofErr w:type="gramEnd"/>
      <w:r>
        <w:rPr>
          <w:sz w:val="22"/>
        </w:rPr>
        <w:t xml:space="preserve"> to, within one year of completing that application. Based on the MIS data,</w:t>
      </w:r>
      <w:r w:rsidR="00384A82">
        <w:rPr>
          <w:sz w:val="22"/>
        </w:rPr>
        <w:t xml:space="preserve"> 54,517 applications were submitted for Pierce College</w:t>
      </w:r>
      <w:r w:rsidR="00FC67EC">
        <w:rPr>
          <w:sz w:val="22"/>
        </w:rPr>
        <w:t xml:space="preserve"> between a 2-year period (2016-2018)</w:t>
      </w:r>
      <w:r w:rsidR="00384A82">
        <w:rPr>
          <w:sz w:val="22"/>
        </w:rPr>
        <w:t xml:space="preserve">. Of these applicants, 22,329 students successfully enrolled at Pierce College during the 2017-2018 academic year, providing us with an overall baseline of 41% successful enrollment.  </w:t>
      </w:r>
      <w:bookmarkStart w:id="5" w:name="_Hlk7787070"/>
      <w:r w:rsidR="00384A82">
        <w:rPr>
          <w:sz w:val="22"/>
        </w:rPr>
        <w:t>Listed in the chart below are the disproportionately impacted populations in the area of successful enrollment.</w:t>
      </w:r>
      <w:bookmarkEnd w:id="5"/>
    </w:p>
    <w:p w:rsidR="001315FB" w:rsidRDefault="001315FB" w:rsidP="001315FB">
      <w:pPr>
        <w:pStyle w:val="BodyText"/>
        <w:spacing w:before="1"/>
        <w:ind w:right="420"/>
        <w:rPr>
          <w:sz w:val="22"/>
        </w:rPr>
      </w:pPr>
    </w:p>
    <w:p w:rsidR="001315FB" w:rsidRDefault="001315FB">
      <w:pPr>
        <w:rPr>
          <w:szCs w:val="24"/>
        </w:rPr>
      </w:pPr>
      <w:r>
        <w:br w:type="page"/>
      </w:r>
    </w:p>
    <w:p w:rsidR="00C62B4D" w:rsidRPr="001315FB" w:rsidRDefault="00C62B4D" w:rsidP="001315FB">
      <w:pPr>
        <w:pStyle w:val="BodyText"/>
        <w:spacing w:before="1"/>
        <w:ind w:left="900" w:right="420"/>
        <w:rPr>
          <w:sz w:val="22"/>
        </w:rPr>
      </w:pPr>
    </w:p>
    <w:p w:rsidR="00CF5256" w:rsidRPr="006B71FA" w:rsidRDefault="00384A82" w:rsidP="00E25F2B">
      <w:pPr>
        <w:pStyle w:val="BodyText"/>
        <w:spacing w:before="1"/>
        <w:ind w:left="900"/>
        <w:rPr>
          <w:b/>
          <w:sz w:val="22"/>
        </w:rPr>
      </w:pPr>
      <w:r w:rsidRPr="006B71FA">
        <w:rPr>
          <w:b/>
          <w:sz w:val="22"/>
        </w:rPr>
        <w:t xml:space="preserve">Table </w:t>
      </w:r>
      <w:r w:rsidR="00A169CE">
        <w:rPr>
          <w:b/>
          <w:sz w:val="22"/>
        </w:rPr>
        <w:t>5</w:t>
      </w:r>
      <w:r w:rsidRPr="006B71FA">
        <w:rPr>
          <w:b/>
          <w:sz w:val="22"/>
        </w:rPr>
        <w:t xml:space="preserve">.1 </w:t>
      </w:r>
      <w:r w:rsidR="005A6DD3" w:rsidRPr="006B71FA">
        <w:rPr>
          <w:b/>
          <w:sz w:val="22"/>
        </w:rPr>
        <w:t>Current success rates and proposed goals for Pierce College’s d</w:t>
      </w:r>
      <w:r w:rsidRPr="006B71FA">
        <w:rPr>
          <w:b/>
          <w:sz w:val="22"/>
        </w:rPr>
        <w:t>isproportionately impacted groups in the area of successful enrollment</w:t>
      </w:r>
      <w:r w:rsidR="005A6DD3" w:rsidRPr="006B71FA">
        <w:rPr>
          <w:b/>
          <w:sz w:val="22"/>
        </w:rPr>
        <w:t>.</w:t>
      </w:r>
    </w:p>
    <w:tbl>
      <w:tblPr>
        <w:tblStyle w:val="TableGrid"/>
        <w:tblW w:w="9424" w:type="dxa"/>
        <w:tblInd w:w="677" w:type="dxa"/>
        <w:tblLayout w:type="fixed"/>
        <w:tblLook w:val="01E0" w:firstRow="1" w:lastRow="1" w:firstColumn="1" w:lastColumn="1" w:noHBand="0" w:noVBand="0"/>
        <w:tblCaption w:val="Current success rates and proposed goals for Pierce College’s disproportionately impacted groups "/>
        <w:tblDescription w:val="Current success rates and proposed goals for Pierce College’s disproportionately impacted groups in the area of successful enrollment"/>
      </w:tblPr>
      <w:tblGrid>
        <w:gridCol w:w="2288"/>
        <w:gridCol w:w="1376"/>
        <w:gridCol w:w="1440"/>
        <w:gridCol w:w="1440"/>
        <w:gridCol w:w="1440"/>
        <w:gridCol w:w="1440"/>
      </w:tblGrid>
      <w:tr w:rsidR="00340773" w:rsidRPr="00E1143A" w:rsidTr="00A72BF6">
        <w:trPr>
          <w:trHeight w:val="299"/>
        </w:trPr>
        <w:tc>
          <w:tcPr>
            <w:tcW w:w="2288" w:type="dxa"/>
          </w:tcPr>
          <w:p w:rsidR="00340773" w:rsidRPr="00E1143A" w:rsidRDefault="00340773" w:rsidP="007F0E09">
            <w:pPr>
              <w:spacing w:before="11"/>
              <w:ind w:left="153" w:right="141"/>
              <w:jc w:val="center"/>
              <w:rPr>
                <w:b/>
              </w:rPr>
            </w:pPr>
            <w:bookmarkStart w:id="6" w:name="_Hlk7785763"/>
            <w:r>
              <w:rPr>
                <w:b/>
              </w:rPr>
              <w:t>Disproportionately Impacted</w:t>
            </w:r>
            <w:r w:rsidRPr="00E1143A">
              <w:rPr>
                <w:b/>
              </w:rPr>
              <w:t xml:space="preserve"> Student Groups</w:t>
            </w:r>
          </w:p>
        </w:tc>
        <w:tc>
          <w:tcPr>
            <w:tcW w:w="1376" w:type="dxa"/>
          </w:tcPr>
          <w:p w:rsidR="00340773" w:rsidRDefault="00340773" w:rsidP="0025533A">
            <w:pPr>
              <w:spacing w:before="11"/>
              <w:ind w:left="153" w:right="141"/>
              <w:jc w:val="center"/>
              <w:rPr>
                <w:b/>
              </w:rPr>
            </w:pPr>
            <w:r>
              <w:rPr>
                <w:b/>
              </w:rPr>
              <w:t>Cohort Count</w:t>
            </w:r>
          </w:p>
        </w:tc>
        <w:tc>
          <w:tcPr>
            <w:tcW w:w="1440" w:type="dxa"/>
          </w:tcPr>
          <w:p w:rsidR="00340773" w:rsidRDefault="00340773" w:rsidP="0025533A">
            <w:pPr>
              <w:spacing w:before="11"/>
              <w:ind w:left="153" w:right="141"/>
              <w:jc w:val="center"/>
              <w:rPr>
                <w:b/>
              </w:rPr>
            </w:pPr>
            <w:r>
              <w:rPr>
                <w:b/>
              </w:rPr>
              <w:t>Current</w:t>
            </w:r>
          </w:p>
          <w:p w:rsidR="00340773" w:rsidRDefault="00340773" w:rsidP="0025533A">
            <w:pPr>
              <w:spacing w:before="11"/>
              <w:ind w:left="153" w:right="141"/>
              <w:jc w:val="center"/>
              <w:rPr>
                <w:b/>
              </w:rPr>
            </w:pPr>
            <w:r>
              <w:rPr>
                <w:b/>
              </w:rPr>
              <w:t>Success Count</w:t>
            </w:r>
          </w:p>
        </w:tc>
        <w:tc>
          <w:tcPr>
            <w:tcW w:w="1440" w:type="dxa"/>
          </w:tcPr>
          <w:p w:rsidR="00340773" w:rsidRDefault="00340773" w:rsidP="0025533A">
            <w:pPr>
              <w:spacing w:before="11"/>
              <w:ind w:left="153" w:right="141"/>
              <w:jc w:val="center"/>
              <w:rPr>
                <w:b/>
              </w:rPr>
            </w:pPr>
            <w:r>
              <w:rPr>
                <w:b/>
              </w:rPr>
              <w:t>Current Success Rate</w:t>
            </w:r>
          </w:p>
        </w:tc>
        <w:tc>
          <w:tcPr>
            <w:tcW w:w="1440" w:type="dxa"/>
          </w:tcPr>
          <w:p w:rsidR="00340773" w:rsidRDefault="00340773" w:rsidP="00340773">
            <w:pPr>
              <w:spacing w:before="11"/>
              <w:ind w:left="153" w:right="141"/>
              <w:jc w:val="center"/>
              <w:rPr>
                <w:b/>
              </w:rPr>
            </w:pPr>
            <w:r>
              <w:rPr>
                <w:b/>
              </w:rPr>
              <w:t>Goal Success Count</w:t>
            </w:r>
          </w:p>
        </w:tc>
        <w:tc>
          <w:tcPr>
            <w:tcW w:w="1440" w:type="dxa"/>
          </w:tcPr>
          <w:p w:rsidR="00340773" w:rsidRDefault="00340773" w:rsidP="0025533A">
            <w:pPr>
              <w:spacing w:before="11"/>
              <w:ind w:left="153" w:right="141"/>
              <w:jc w:val="center"/>
              <w:rPr>
                <w:b/>
              </w:rPr>
            </w:pPr>
            <w:r>
              <w:rPr>
                <w:b/>
              </w:rPr>
              <w:t xml:space="preserve">Goal Success Rate </w:t>
            </w:r>
          </w:p>
        </w:tc>
      </w:tr>
      <w:tr w:rsidR="00340773" w:rsidRPr="00E1143A" w:rsidTr="00A72BF6">
        <w:trPr>
          <w:trHeight w:val="299"/>
        </w:trPr>
        <w:tc>
          <w:tcPr>
            <w:tcW w:w="2288" w:type="dxa"/>
          </w:tcPr>
          <w:p w:rsidR="00340773" w:rsidRDefault="00340773" w:rsidP="005A6DD3">
            <w:pPr>
              <w:spacing w:before="13" w:line="266" w:lineRule="exact"/>
              <w:ind w:left="60" w:right="90"/>
            </w:pPr>
            <w:r>
              <w:t>Female American Indian or Alaska Native students</w:t>
            </w:r>
          </w:p>
          <w:p w:rsidR="00340773" w:rsidRPr="00E1143A" w:rsidRDefault="00340773" w:rsidP="007F0E09">
            <w:pPr>
              <w:spacing w:before="13" w:line="266" w:lineRule="exact"/>
              <w:ind w:left="153" w:right="137"/>
            </w:pPr>
          </w:p>
        </w:tc>
        <w:tc>
          <w:tcPr>
            <w:tcW w:w="1376" w:type="dxa"/>
          </w:tcPr>
          <w:p w:rsidR="00340773" w:rsidRDefault="00340773" w:rsidP="0025533A">
            <w:pPr>
              <w:spacing w:before="13" w:line="266" w:lineRule="exact"/>
              <w:ind w:left="153" w:right="137"/>
              <w:jc w:val="center"/>
            </w:pPr>
            <w:r>
              <w:t>152</w:t>
            </w:r>
          </w:p>
        </w:tc>
        <w:tc>
          <w:tcPr>
            <w:tcW w:w="1440" w:type="dxa"/>
          </w:tcPr>
          <w:p w:rsidR="00340773" w:rsidRDefault="00340773" w:rsidP="0025533A">
            <w:pPr>
              <w:spacing w:before="13" w:line="266" w:lineRule="exact"/>
              <w:ind w:left="153" w:right="137"/>
              <w:jc w:val="center"/>
            </w:pPr>
            <w:r>
              <w:t>44</w:t>
            </w:r>
          </w:p>
        </w:tc>
        <w:tc>
          <w:tcPr>
            <w:tcW w:w="1440" w:type="dxa"/>
          </w:tcPr>
          <w:p w:rsidR="00340773" w:rsidRDefault="00340773" w:rsidP="0025533A">
            <w:pPr>
              <w:spacing w:before="13" w:line="266" w:lineRule="exact"/>
              <w:ind w:left="153" w:right="137"/>
              <w:jc w:val="center"/>
            </w:pPr>
          </w:p>
          <w:p w:rsidR="00340773" w:rsidRDefault="00340773" w:rsidP="0025533A">
            <w:pPr>
              <w:spacing w:before="13" w:line="266" w:lineRule="exact"/>
              <w:ind w:left="153" w:right="137"/>
              <w:jc w:val="center"/>
            </w:pPr>
            <w:r>
              <w:t>28.9%</w:t>
            </w:r>
          </w:p>
        </w:tc>
        <w:tc>
          <w:tcPr>
            <w:tcW w:w="1440" w:type="dxa"/>
          </w:tcPr>
          <w:p w:rsidR="00340773" w:rsidRDefault="00340773" w:rsidP="00340773">
            <w:pPr>
              <w:spacing w:before="13" w:line="266" w:lineRule="exact"/>
              <w:ind w:left="153" w:right="137"/>
              <w:jc w:val="center"/>
            </w:pPr>
            <w:r>
              <w:t>57</w:t>
            </w:r>
          </w:p>
        </w:tc>
        <w:tc>
          <w:tcPr>
            <w:tcW w:w="1440" w:type="dxa"/>
          </w:tcPr>
          <w:p w:rsidR="00340773" w:rsidRDefault="00340773" w:rsidP="0025533A">
            <w:pPr>
              <w:spacing w:before="13" w:line="266" w:lineRule="exact"/>
              <w:ind w:left="153" w:right="137"/>
              <w:jc w:val="center"/>
            </w:pPr>
            <w:r>
              <w:t>36%</w:t>
            </w:r>
          </w:p>
        </w:tc>
      </w:tr>
      <w:tr w:rsidR="00340773" w:rsidRPr="00E1143A" w:rsidTr="00A72BF6">
        <w:trPr>
          <w:trHeight w:val="299"/>
        </w:trPr>
        <w:tc>
          <w:tcPr>
            <w:tcW w:w="2288" w:type="dxa"/>
          </w:tcPr>
          <w:p w:rsidR="00340773" w:rsidRDefault="00340773" w:rsidP="00CF5256">
            <w:pPr>
              <w:spacing w:before="13" w:line="266" w:lineRule="exact"/>
              <w:ind w:left="153" w:right="137"/>
            </w:pPr>
            <w:r>
              <w:t>Female African American or Black students</w:t>
            </w:r>
          </w:p>
          <w:p w:rsidR="00340773" w:rsidRDefault="00340773" w:rsidP="007F0E09">
            <w:pPr>
              <w:spacing w:before="13" w:line="266" w:lineRule="exact"/>
              <w:ind w:left="153" w:right="137"/>
            </w:pPr>
          </w:p>
        </w:tc>
        <w:tc>
          <w:tcPr>
            <w:tcW w:w="1376" w:type="dxa"/>
          </w:tcPr>
          <w:p w:rsidR="00340773" w:rsidRDefault="00340773" w:rsidP="0025533A">
            <w:pPr>
              <w:spacing w:before="13" w:line="266" w:lineRule="exact"/>
              <w:ind w:left="153" w:right="137"/>
              <w:jc w:val="center"/>
            </w:pPr>
            <w:r>
              <w:t>2464</w:t>
            </w:r>
          </w:p>
        </w:tc>
        <w:tc>
          <w:tcPr>
            <w:tcW w:w="1440" w:type="dxa"/>
          </w:tcPr>
          <w:p w:rsidR="00340773" w:rsidRDefault="00386FDB" w:rsidP="0025533A">
            <w:pPr>
              <w:spacing w:before="13" w:line="266" w:lineRule="exact"/>
              <w:ind w:left="153" w:right="137"/>
              <w:jc w:val="center"/>
            </w:pPr>
            <w:r>
              <w:t>899</w:t>
            </w:r>
          </w:p>
        </w:tc>
        <w:tc>
          <w:tcPr>
            <w:tcW w:w="1440" w:type="dxa"/>
          </w:tcPr>
          <w:p w:rsidR="00340773" w:rsidRDefault="00340773" w:rsidP="0025533A">
            <w:pPr>
              <w:spacing w:before="13" w:line="266" w:lineRule="exact"/>
              <w:ind w:left="153" w:right="137"/>
              <w:jc w:val="center"/>
            </w:pPr>
          </w:p>
          <w:p w:rsidR="00340773" w:rsidRDefault="00340773" w:rsidP="0025533A">
            <w:pPr>
              <w:spacing w:before="13" w:line="266" w:lineRule="exact"/>
              <w:ind w:left="153" w:right="137"/>
              <w:jc w:val="center"/>
            </w:pPr>
            <w:r>
              <w:t>3</w:t>
            </w:r>
            <w:r w:rsidR="00386FDB">
              <w:t>6</w:t>
            </w:r>
            <w:r>
              <w:t>.5%</w:t>
            </w:r>
          </w:p>
        </w:tc>
        <w:tc>
          <w:tcPr>
            <w:tcW w:w="1440" w:type="dxa"/>
          </w:tcPr>
          <w:p w:rsidR="00340773" w:rsidRDefault="00386FDB" w:rsidP="00340773">
            <w:pPr>
              <w:spacing w:before="13" w:line="266" w:lineRule="exact"/>
              <w:ind w:left="153" w:right="137"/>
              <w:jc w:val="center"/>
            </w:pPr>
            <w:r>
              <w:t>1010</w:t>
            </w:r>
          </w:p>
        </w:tc>
        <w:tc>
          <w:tcPr>
            <w:tcW w:w="1440" w:type="dxa"/>
          </w:tcPr>
          <w:p w:rsidR="00340773" w:rsidRDefault="00340773" w:rsidP="0025533A">
            <w:pPr>
              <w:spacing w:before="13" w:line="266" w:lineRule="exact"/>
              <w:ind w:left="153" w:right="137"/>
              <w:jc w:val="center"/>
            </w:pPr>
            <w:r>
              <w:t>Eliminate gap</w:t>
            </w:r>
          </w:p>
        </w:tc>
      </w:tr>
      <w:tr w:rsidR="00340773" w:rsidRPr="00E1143A" w:rsidTr="00A72BF6">
        <w:trPr>
          <w:trHeight w:val="299"/>
        </w:trPr>
        <w:tc>
          <w:tcPr>
            <w:tcW w:w="2288" w:type="dxa"/>
          </w:tcPr>
          <w:p w:rsidR="00340773" w:rsidRDefault="00340773" w:rsidP="00340773">
            <w:pPr>
              <w:spacing w:before="13" w:line="266" w:lineRule="exact"/>
              <w:ind w:left="153" w:right="137"/>
            </w:pPr>
            <w:r>
              <w:t>Male African American or Black students</w:t>
            </w:r>
          </w:p>
          <w:p w:rsidR="00340773" w:rsidRDefault="00340773" w:rsidP="00340773">
            <w:pPr>
              <w:spacing w:before="13" w:line="266" w:lineRule="exact"/>
              <w:ind w:left="153" w:right="137" w:firstLine="720"/>
            </w:pPr>
          </w:p>
        </w:tc>
        <w:tc>
          <w:tcPr>
            <w:tcW w:w="1376" w:type="dxa"/>
          </w:tcPr>
          <w:p w:rsidR="00340773" w:rsidRDefault="00340773" w:rsidP="0025533A">
            <w:pPr>
              <w:spacing w:before="13" w:line="266" w:lineRule="exact"/>
              <w:ind w:left="153" w:right="137"/>
              <w:jc w:val="center"/>
            </w:pPr>
            <w:r>
              <w:t>2034</w:t>
            </w:r>
          </w:p>
        </w:tc>
        <w:tc>
          <w:tcPr>
            <w:tcW w:w="1440" w:type="dxa"/>
          </w:tcPr>
          <w:p w:rsidR="00340773" w:rsidRDefault="00386FDB" w:rsidP="0025533A">
            <w:pPr>
              <w:spacing w:before="13" w:line="266" w:lineRule="exact"/>
              <w:ind w:left="153" w:right="137"/>
              <w:jc w:val="center"/>
            </w:pPr>
            <w:r>
              <w:t>736</w:t>
            </w:r>
          </w:p>
        </w:tc>
        <w:tc>
          <w:tcPr>
            <w:tcW w:w="1440" w:type="dxa"/>
          </w:tcPr>
          <w:p w:rsidR="00340773" w:rsidRDefault="00386FDB" w:rsidP="0025533A">
            <w:pPr>
              <w:spacing w:before="13" w:line="266" w:lineRule="exact"/>
              <w:ind w:left="153" w:right="137"/>
              <w:jc w:val="center"/>
            </w:pPr>
            <w:r>
              <w:t>36.2%</w:t>
            </w:r>
          </w:p>
        </w:tc>
        <w:tc>
          <w:tcPr>
            <w:tcW w:w="1440" w:type="dxa"/>
          </w:tcPr>
          <w:p w:rsidR="00340773" w:rsidRDefault="00386FDB" w:rsidP="00340773">
            <w:pPr>
              <w:spacing w:before="13" w:line="266" w:lineRule="exact"/>
              <w:ind w:left="153" w:right="137"/>
              <w:jc w:val="center"/>
            </w:pPr>
            <w:r>
              <w:t>834</w:t>
            </w:r>
          </w:p>
        </w:tc>
        <w:tc>
          <w:tcPr>
            <w:tcW w:w="1440" w:type="dxa"/>
          </w:tcPr>
          <w:p w:rsidR="00340773" w:rsidRDefault="00386FDB" w:rsidP="0025533A">
            <w:pPr>
              <w:spacing w:before="13" w:line="266" w:lineRule="exact"/>
              <w:ind w:left="153" w:right="137"/>
              <w:jc w:val="center"/>
            </w:pPr>
            <w:r>
              <w:t>Eliminate gap</w:t>
            </w:r>
          </w:p>
        </w:tc>
      </w:tr>
      <w:tr w:rsidR="00340773" w:rsidRPr="00E1143A" w:rsidTr="00A72BF6">
        <w:trPr>
          <w:trHeight w:val="299"/>
        </w:trPr>
        <w:tc>
          <w:tcPr>
            <w:tcW w:w="2288" w:type="dxa"/>
          </w:tcPr>
          <w:p w:rsidR="00340773" w:rsidRDefault="00340773" w:rsidP="00CF5256">
            <w:pPr>
              <w:spacing w:before="13" w:line="266" w:lineRule="exact"/>
              <w:ind w:left="153" w:right="137"/>
            </w:pPr>
            <w:r>
              <w:t>Male Pacific Islander students</w:t>
            </w:r>
          </w:p>
          <w:p w:rsidR="00340773" w:rsidRDefault="00340773" w:rsidP="00CF5256">
            <w:pPr>
              <w:spacing w:before="13" w:line="266" w:lineRule="exact"/>
              <w:ind w:left="153" w:right="137"/>
            </w:pPr>
          </w:p>
        </w:tc>
        <w:tc>
          <w:tcPr>
            <w:tcW w:w="1376" w:type="dxa"/>
          </w:tcPr>
          <w:p w:rsidR="00340773" w:rsidRDefault="00386FDB" w:rsidP="0025533A">
            <w:pPr>
              <w:spacing w:before="13" w:line="266" w:lineRule="exact"/>
              <w:ind w:left="153" w:right="137"/>
              <w:jc w:val="center"/>
            </w:pPr>
            <w:r>
              <w:t>59</w:t>
            </w:r>
          </w:p>
        </w:tc>
        <w:tc>
          <w:tcPr>
            <w:tcW w:w="1440" w:type="dxa"/>
          </w:tcPr>
          <w:p w:rsidR="00340773" w:rsidRDefault="00386FDB" w:rsidP="0025533A">
            <w:pPr>
              <w:spacing w:before="13" w:line="266" w:lineRule="exact"/>
              <w:ind w:left="153" w:right="137"/>
              <w:jc w:val="center"/>
            </w:pPr>
            <w:r>
              <w:t>15</w:t>
            </w:r>
          </w:p>
        </w:tc>
        <w:tc>
          <w:tcPr>
            <w:tcW w:w="1440" w:type="dxa"/>
          </w:tcPr>
          <w:p w:rsidR="00340773" w:rsidRDefault="00340773" w:rsidP="0025533A">
            <w:pPr>
              <w:spacing w:before="13" w:line="266" w:lineRule="exact"/>
              <w:ind w:left="153" w:right="137"/>
              <w:jc w:val="center"/>
            </w:pPr>
          </w:p>
          <w:p w:rsidR="00340773" w:rsidRDefault="00340773" w:rsidP="0025533A">
            <w:pPr>
              <w:spacing w:before="13" w:line="266" w:lineRule="exact"/>
              <w:ind w:left="153" w:right="137"/>
              <w:jc w:val="center"/>
            </w:pPr>
            <w:r>
              <w:t>25.4%</w:t>
            </w:r>
          </w:p>
        </w:tc>
        <w:tc>
          <w:tcPr>
            <w:tcW w:w="1440" w:type="dxa"/>
          </w:tcPr>
          <w:p w:rsidR="00340773" w:rsidRDefault="00386FDB" w:rsidP="00340773">
            <w:pPr>
              <w:spacing w:before="13" w:line="266" w:lineRule="exact"/>
              <w:ind w:left="153" w:right="137"/>
              <w:jc w:val="center"/>
            </w:pPr>
            <w:r>
              <w:t>22</w:t>
            </w:r>
          </w:p>
        </w:tc>
        <w:tc>
          <w:tcPr>
            <w:tcW w:w="1440" w:type="dxa"/>
          </w:tcPr>
          <w:p w:rsidR="00340773" w:rsidRDefault="00340773" w:rsidP="0025533A">
            <w:pPr>
              <w:spacing w:before="13" w:line="266" w:lineRule="exact"/>
              <w:ind w:left="153" w:right="137"/>
              <w:jc w:val="center"/>
            </w:pPr>
            <w:r>
              <w:t>36%</w:t>
            </w:r>
          </w:p>
        </w:tc>
      </w:tr>
      <w:tr w:rsidR="00340773" w:rsidRPr="00E1143A" w:rsidTr="00A72BF6">
        <w:trPr>
          <w:trHeight w:val="299"/>
        </w:trPr>
        <w:tc>
          <w:tcPr>
            <w:tcW w:w="2288" w:type="dxa"/>
          </w:tcPr>
          <w:p w:rsidR="00340773" w:rsidRDefault="00340773" w:rsidP="00CF5256">
            <w:pPr>
              <w:spacing w:before="13" w:line="266" w:lineRule="exact"/>
              <w:ind w:left="153" w:right="137"/>
            </w:pPr>
            <w:r>
              <w:t>Female students who identify as former foster youth</w:t>
            </w:r>
          </w:p>
          <w:p w:rsidR="00340773" w:rsidRDefault="00340773" w:rsidP="00CF5256">
            <w:pPr>
              <w:spacing w:before="13" w:line="266" w:lineRule="exact"/>
              <w:ind w:left="153" w:right="137"/>
            </w:pPr>
          </w:p>
        </w:tc>
        <w:tc>
          <w:tcPr>
            <w:tcW w:w="1376" w:type="dxa"/>
          </w:tcPr>
          <w:p w:rsidR="00340773" w:rsidRDefault="00340773" w:rsidP="0025533A">
            <w:pPr>
              <w:spacing w:before="13" w:line="266" w:lineRule="exact"/>
              <w:ind w:left="153" w:right="137"/>
              <w:jc w:val="center"/>
            </w:pPr>
            <w:r>
              <w:t>610</w:t>
            </w:r>
          </w:p>
        </w:tc>
        <w:tc>
          <w:tcPr>
            <w:tcW w:w="1440" w:type="dxa"/>
          </w:tcPr>
          <w:p w:rsidR="00340773" w:rsidRDefault="00340773" w:rsidP="0025533A">
            <w:pPr>
              <w:spacing w:before="13" w:line="266" w:lineRule="exact"/>
              <w:ind w:left="153" w:right="137"/>
              <w:jc w:val="center"/>
            </w:pPr>
            <w:r>
              <w:t>210</w:t>
            </w:r>
          </w:p>
        </w:tc>
        <w:tc>
          <w:tcPr>
            <w:tcW w:w="1440" w:type="dxa"/>
          </w:tcPr>
          <w:p w:rsidR="00340773" w:rsidRDefault="00340773" w:rsidP="0025533A">
            <w:pPr>
              <w:spacing w:before="13" w:line="266" w:lineRule="exact"/>
              <w:ind w:left="153" w:right="137"/>
              <w:jc w:val="center"/>
            </w:pPr>
          </w:p>
          <w:p w:rsidR="00340773" w:rsidRDefault="00340773" w:rsidP="0025533A">
            <w:pPr>
              <w:spacing w:before="13" w:line="266" w:lineRule="exact"/>
              <w:ind w:left="153" w:right="137"/>
              <w:jc w:val="center"/>
            </w:pPr>
            <w:r>
              <w:t>34.4%</w:t>
            </w:r>
          </w:p>
        </w:tc>
        <w:tc>
          <w:tcPr>
            <w:tcW w:w="1440" w:type="dxa"/>
          </w:tcPr>
          <w:p w:rsidR="00340773" w:rsidRDefault="00386FDB" w:rsidP="00340773">
            <w:pPr>
              <w:spacing w:before="13" w:line="266" w:lineRule="exact"/>
              <w:ind w:left="153" w:right="137"/>
              <w:jc w:val="center"/>
            </w:pPr>
            <w:r>
              <w:t>251</w:t>
            </w:r>
          </w:p>
        </w:tc>
        <w:tc>
          <w:tcPr>
            <w:tcW w:w="1440" w:type="dxa"/>
          </w:tcPr>
          <w:p w:rsidR="00340773" w:rsidRDefault="00340773" w:rsidP="0025533A">
            <w:pPr>
              <w:spacing w:before="13" w:line="266" w:lineRule="exact"/>
              <w:ind w:left="153" w:right="137"/>
              <w:jc w:val="center"/>
            </w:pPr>
            <w:r>
              <w:t>Eliminate gap</w:t>
            </w:r>
          </w:p>
        </w:tc>
      </w:tr>
      <w:tr w:rsidR="00340773" w:rsidRPr="00E1143A" w:rsidTr="00A72BF6">
        <w:trPr>
          <w:trHeight w:val="299"/>
        </w:trPr>
        <w:tc>
          <w:tcPr>
            <w:tcW w:w="2288" w:type="dxa"/>
          </w:tcPr>
          <w:p w:rsidR="00340773" w:rsidRDefault="00386FDB" w:rsidP="00CF5256">
            <w:pPr>
              <w:spacing w:before="13" w:line="266" w:lineRule="exact"/>
              <w:ind w:left="153" w:right="137"/>
            </w:pPr>
            <w:r>
              <w:t xml:space="preserve">Female </w:t>
            </w:r>
            <w:r w:rsidR="00340773">
              <w:t>Students who identify as LGBTQ</w:t>
            </w:r>
          </w:p>
          <w:p w:rsidR="00705618" w:rsidRDefault="00705618" w:rsidP="00CF5256">
            <w:pPr>
              <w:spacing w:before="13" w:line="266" w:lineRule="exact"/>
              <w:ind w:left="153" w:right="137"/>
            </w:pPr>
          </w:p>
        </w:tc>
        <w:tc>
          <w:tcPr>
            <w:tcW w:w="1376" w:type="dxa"/>
          </w:tcPr>
          <w:p w:rsidR="00340773" w:rsidRDefault="00386FDB" w:rsidP="0025533A">
            <w:pPr>
              <w:spacing w:before="13" w:line="266" w:lineRule="exact"/>
              <w:ind w:left="153" w:right="137"/>
              <w:jc w:val="center"/>
            </w:pPr>
            <w:r>
              <w:t>1520</w:t>
            </w:r>
          </w:p>
        </w:tc>
        <w:tc>
          <w:tcPr>
            <w:tcW w:w="1440" w:type="dxa"/>
          </w:tcPr>
          <w:p w:rsidR="00340773" w:rsidRDefault="00386FDB" w:rsidP="0025533A">
            <w:pPr>
              <w:spacing w:before="13" w:line="266" w:lineRule="exact"/>
              <w:ind w:left="153" w:right="137"/>
              <w:jc w:val="center"/>
            </w:pPr>
            <w:r>
              <w:t>567</w:t>
            </w:r>
          </w:p>
        </w:tc>
        <w:tc>
          <w:tcPr>
            <w:tcW w:w="1440" w:type="dxa"/>
          </w:tcPr>
          <w:p w:rsidR="00340773" w:rsidRDefault="00340773" w:rsidP="0025533A">
            <w:pPr>
              <w:spacing w:before="13" w:line="266" w:lineRule="exact"/>
              <w:ind w:left="153" w:right="137"/>
              <w:jc w:val="center"/>
            </w:pPr>
          </w:p>
          <w:p w:rsidR="00340773" w:rsidRDefault="00386FDB" w:rsidP="0025533A">
            <w:pPr>
              <w:spacing w:before="13" w:line="266" w:lineRule="exact"/>
              <w:ind w:left="153" w:right="137"/>
              <w:jc w:val="center"/>
            </w:pPr>
            <w:r>
              <w:t>37.9</w:t>
            </w:r>
            <w:r w:rsidR="00340773">
              <w:t>%</w:t>
            </w:r>
          </w:p>
        </w:tc>
        <w:tc>
          <w:tcPr>
            <w:tcW w:w="1440" w:type="dxa"/>
          </w:tcPr>
          <w:p w:rsidR="00340773" w:rsidRDefault="00386FDB" w:rsidP="00340773">
            <w:pPr>
              <w:spacing w:before="13" w:line="266" w:lineRule="exact"/>
              <w:ind w:left="153" w:right="137"/>
              <w:jc w:val="center"/>
            </w:pPr>
            <w:r>
              <w:t>624</w:t>
            </w:r>
          </w:p>
        </w:tc>
        <w:tc>
          <w:tcPr>
            <w:tcW w:w="1440" w:type="dxa"/>
          </w:tcPr>
          <w:p w:rsidR="00340773" w:rsidRDefault="00340773" w:rsidP="0025533A">
            <w:pPr>
              <w:spacing w:before="13" w:line="266" w:lineRule="exact"/>
              <w:ind w:left="153" w:right="137"/>
              <w:jc w:val="center"/>
            </w:pPr>
            <w:r>
              <w:t>Eliminate gap</w:t>
            </w:r>
          </w:p>
        </w:tc>
      </w:tr>
      <w:tr w:rsidR="00386FDB" w:rsidRPr="00E1143A" w:rsidTr="00A72BF6">
        <w:trPr>
          <w:trHeight w:val="299"/>
        </w:trPr>
        <w:tc>
          <w:tcPr>
            <w:tcW w:w="2288" w:type="dxa"/>
          </w:tcPr>
          <w:p w:rsidR="00386FDB" w:rsidRDefault="00386FDB" w:rsidP="00CF5256">
            <w:pPr>
              <w:spacing w:before="13" w:line="266" w:lineRule="exact"/>
              <w:ind w:left="153" w:right="137"/>
            </w:pPr>
            <w:r>
              <w:t>Male students who identify as LGBTQ</w:t>
            </w:r>
          </w:p>
          <w:p w:rsidR="00705618" w:rsidRDefault="00705618" w:rsidP="00CF5256">
            <w:pPr>
              <w:spacing w:before="13" w:line="266" w:lineRule="exact"/>
              <w:ind w:left="153" w:right="137"/>
            </w:pPr>
          </w:p>
        </w:tc>
        <w:tc>
          <w:tcPr>
            <w:tcW w:w="1376" w:type="dxa"/>
          </w:tcPr>
          <w:p w:rsidR="00386FDB" w:rsidRDefault="00386FDB" w:rsidP="0025533A">
            <w:pPr>
              <w:spacing w:before="13" w:line="266" w:lineRule="exact"/>
              <w:ind w:left="153" w:right="137"/>
              <w:jc w:val="center"/>
            </w:pPr>
            <w:r>
              <w:t>839</w:t>
            </w:r>
          </w:p>
        </w:tc>
        <w:tc>
          <w:tcPr>
            <w:tcW w:w="1440" w:type="dxa"/>
          </w:tcPr>
          <w:p w:rsidR="00386FDB" w:rsidRDefault="00386FDB" w:rsidP="0025533A">
            <w:pPr>
              <w:spacing w:before="13" w:line="266" w:lineRule="exact"/>
              <w:ind w:left="153" w:right="137"/>
              <w:jc w:val="center"/>
            </w:pPr>
            <w:r>
              <w:t>286</w:t>
            </w:r>
          </w:p>
        </w:tc>
        <w:tc>
          <w:tcPr>
            <w:tcW w:w="1440" w:type="dxa"/>
          </w:tcPr>
          <w:p w:rsidR="00386FDB" w:rsidRDefault="00386FDB" w:rsidP="0025533A">
            <w:pPr>
              <w:spacing w:before="13" w:line="266" w:lineRule="exact"/>
              <w:ind w:left="153" w:right="137"/>
              <w:jc w:val="center"/>
            </w:pPr>
            <w:r>
              <w:t>34.1%</w:t>
            </w:r>
          </w:p>
        </w:tc>
        <w:tc>
          <w:tcPr>
            <w:tcW w:w="1440" w:type="dxa"/>
          </w:tcPr>
          <w:p w:rsidR="00386FDB" w:rsidRDefault="00386FDB" w:rsidP="00340773">
            <w:pPr>
              <w:spacing w:before="13" w:line="266" w:lineRule="exact"/>
              <w:ind w:left="153" w:right="137"/>
              <w:jc w:val="center"/>
            </w:pPr>
            <w:r>
              <w:t>328</w:t>
            </w:r>
          </w:p>
        </w:tc>
        <w:tc>
          <w:tcPr>
            <w:tcW w:w="1440" w:type="dxa"/>
          </w:tcPr>
          <w:p w:rsidR="00386FDB" w:rsidRDefault="00386FDB" w:rsidP="0025533A">
            <w:pPr>
              <w:spacing w:before="13" w:line="266" w:lineRule="exact"/>
              <w:ind w:left="153" w:right="137"/>
              <w:jc w:val="center"/>
            </w:pPr>
            <w:r>
              <w:t>39%</w:t>
            </w:r>
          </w:p>
        </w:tc>
      </w:tr>
      <w:tr w:rsidR="00340773" w:rsidRPr="00E1143A" w:rsidTr="00A72BF6">
        <w:trPr>
          <w:trHeight w:val="299"/>
        </w:trPr>
        <w:tc>
          <w:tcPr>
            <w:tcW w:w="2288" w:type="dxa"/>
          </w:tcPr>
          <w:p w:rsidR="00340773" w:rsidRDefault="00340773" w:rsidP="00CF5256">
            <w:pPr>
              <w:spacing w:before="13" w:line="266" w:lineRule="exact"/>
              <w:ind w:left="153" w:right="137"/>
            </w:pPr>
            <w:r>
              <w:t>Female students who identify as Veterans</w:t>
            </w:r>
          </w:p>
          <w:p w:rsidR="00705618" w:rsidRDefault="00705618" w:rsidP="00CF5256">
            <w:pPr>
              <w:spacing w:before="13" w:line="266" w:lineRule="exact"/>
              <w:ind w:left="153" w:right="137"/>
            </w:pPr>
          </w:p>
        </w:tc>
        <w:tc>
          <w:tcPr>
            <w:tcW w:w="1376" w:type="dxa"/>
          </w:tcPr>
          <w:p w:rsidR="00340773" w:rsidRDefault="00340773" w:rsidP="0025533A">
            <w:pPr>
              <w:spacing w:before="13" w:line="266" w:lineRule="exact"/>
              <w:ind w:left="153" w:right="137"/>
              <w:jc w:val="center"/>
            </w:pPr>
            <w:r>
              <w:t>132</w:t>
            </w:r>
          </w:p>
        </w:tc>
        <w:tc>
          <w:tcPr>
            <w:tcW w:w="1440" w:type="dxa"/>
          </w:tcPr>
          <w:p w:rsidR="00340773" w:rsidRDefault="00340773" w:rsidP="0025533A">
            <w:pPr>
              <w:spacing w:before="13" w:line="266" w:lineRule="exact"/>
              <w:ind w:left="153" w:right="137"/>
              <w:jc w:val="center"/>
            </w:pPr>
            <w:r>
              <w:t>42</w:t>
            </w:r>
          </w:p>
        </w:tc>
        <w:tc>
          <w:tcPr>
            <w:tcW w:w="1440" w:type="dxa"/>
          </w:tcPr>
          <w:p w:rsidR="00340773" w:rsidRDefault="00340773" w:rsidP="0025533A">
            <w:pPr>
              <w:spacing w:before="13" w:line="266" w:lineRule="exact"/>
              <w:ind w:left="153" w:right="137"/>
              <w:jc w:val="center"/>
            </w:pPr>
            <w:r>
              <w:t>31.8%</w:t>
            </w:r>
          </w:p>
        </w:tc>
        <w:tc>
          <w:tcPr>
            <w:tcW w:w="1440" w:type="dxa"/>
          </w:tcPr>
          <w:p w:rsidR="00340773" w:rsidRDefault="00386FDB" w:rsidP="00340773">
            <w:pPr>
              <w:spacing w:before="13" w:line="266" w:lineRule="exact"/>
              <w:ind w:left="153" w:right="137"/>
              <w:jc w:val="center"/>
            </w:pPr>
            <w:r>
              <w:t>53</w:t>
            </w:r>
          </w:p>
        </w:tc>
        <w:tc>
          <w:tcPr>
            <w:tcW w:w="1440" w:type="dxa"/>
          </w:tcPr>
          <w:p w:rsidR="00340773" w:rsidRDefault="00340773" w:rsidP="0025533A">
            <w:pPr>
              <w:spacing w:before="13" w:line="266" w:lineRule="exact"/>
              <w:ind w:left="153" w:right="137"/>
              <w:jc w:val="center"/>
            </w:pPr>
            <w:r>
              <w:t>40%</w:t>
            </w:r>
          </w:p>
        </w:tc>
      </w:tr>
      <w:bookmarkEnd w:id="6"/>
    </w:tbl>
    <w:p w:rsidR="00744929" w:rsidRDefault="00744929" w:rsidP="00384A82">
      <w:pPr>
        <w:pStyle w:val="BodyText"/>
        <w:spacing w:before="1"/>
        <w:ind w:left="900" w:right="420"/>
        <w:rPr>
          <w:sz w:val="22"/>
        </w:rPr>
      </w:pPr>
    </w:p>
    <w:p w:rsidR="00744929" w:rsidRDefault="00744929" w:rsidP="00E25F2B">
      <w:pPr>
        <w:pStyle w:val="BodyText"/>
        <w:spacing w:before="1"/>
        <w:ind w:left="900"/>
        <w:rPr>
          <w:sz w:val="22"/>
        </w:rPr>
      </w:pPr>
    </w:p>
    <w:p w:rsidR="00E25F2B" w:rsidRPr="00567319" w:rsidRDefault="00384A82" w:rsidP="00E25F2B">
      <w:pPr>
        <w:pStyle w:val="BodyText"/>
        <w:spacing w:before="1"/>
        <w:ind w:left="900"/>
        <w:rPr>
          <w:b/>
          <w:i/>
          <w:sz w:val="22"/>
        </w:rPr>
      </w:pPr>
      <w:bookmarkStart w:id="7" w:name="_Hlk8631248"/>
      <w:r w:rsidRPr="00567319">
        <w:rPr>
          <w:b/>
          <w:i/>
          <w:sz w:val="22"/>
        </w:rPr>
        <w:t xml:space="preserve">METRIC 1: </w:t>
      </w:r>
      <w:bookmarkEnd w:id="7"/>
      <w:r w:rsidR="001A477A" w:rsidRPr="00567319">
        <w:rPr>
          <w:b/>
          <w:i/>
          <w:sz w:val="22"/>
        </w:rPr>
        <w:t>ACTIVITIES TO ACHIEVE GOALS</w:t>
      </w:r>
    </w:p>
    <w:p w:rsidR="00567319" w:rsidRPr="00567319" w:rsidRDefault="00567319" w:rsidP="00567319">
      <w:pPr>
        <w:pStyle w:val="BodyText"/>
        <w:numPr>
          <w:ilvl w:val="0"/>
          <w:numId w:val="21"/>
        </w:numPr>
        <w:spacing w:before="1"/>
        <w:rPr>
          <w:sz w:val="22"/>
          <w:u w:val="single"/>
        </w:rPr>
      </w:pPr>
      <w:r w:rsidRPr="00567319">
        <w:rPr>
          <w:sz w:val="22"/>
          <w:u w:val="single"/>
        </w:rPr>
        <w:t>Academic Outreach</w:t>
      </w:r>
      <w:r w:rsidR="00705618">
        <w:rPr>
          <w:sz w:val="22"/>
          <w:u w:val="single"/>
        </w:rPr>
        <w:t xml:space="preserve"> </w:t>
      </w:r>
    </w:p>
    <w:p w:rsidR="00705618" w:rsidRDefault="006C759A" w:rsidP="00705618">
      <w:pPr>
        <w:pStyle w:val="BodyText"/>
        <w:spacing w:before="1"/>
        <w:ind w:left="900" w:right="420"/>
        <w:rPr>
          <w:sz w:val="22"/>
        </w:rPr>
      </w:pPr>
      <w:r>
        <w:rPr>
          <w:sz w:val="22"/>
        </w:rPr>
        <w:t xml:space="preserve">Pierce College </w:t>
      </w:r>
      <w:r w:rsidR="00C67E84">
        <w:rPr>
          <w:sz w:val="22"/>
        </w:rPr>
        <w:t xml:space="preserve">continues </w:t>
      </w:r>
      <w:r w:rsidR="00C072BC">
        <w:rPr>
          <w:sz w:val="22"/>
        </w:rPr>
        <w:t>to strategically</w:t>
      </w:r>
      <w:r>
        <w:rPr>
          <w:sz w:val="22"/>
        </w:rPr>
        <w:t xml:space="preserve"> apply our outreach efforts to follow up with successful enrollment.</w:t>
      </w:r>
      <w:r w:rsidR="00C67E84">
        <w:rPr>
          <w:sz w:val="22"/>
        </w:rPr>
        <w:t xml:space="preserve"> The SEP will work in conjunction with high school outreach efforts like College Promise program to increase the rate at which students are enrolling into classes at Pierce College once they apply. In order to do this, the application process will be streamlined through the development of </w:t>
      </w:r>
      <w:r w:rsidR="00194306">
        <w:rPr>
          <w:sz w:val="22"/>
        </w:rPr>
        <w:t xml:space="preserve">a </w:t>
      </w:r>
      <w:r w:rsidR="00C67E84">
        <w:rPr>
          <w:sz w:val="22"/>
        </w:rPr>
        <w:t xml:space="preserve">college Outreach Plan. This will help </w:t>
      </w:r>
      <w:r w:rsidR="00334929">
        <w:rPr>
          <w:sz w:val="22"/>
        </w:rPr>
        <w:t xml:space="preserve">centralize recruitment efforts </w:t>
      </w:r>
      <w:r w:rsidR="00C67E84">
        <w:rPr>
          <w:sz w:val="22"/>
        </w:rPr>
        <w:t xml:space="preserve">in order to ensure that </w:t>
      </w:r>
      <w:r w:rsidR="00334929">
        <w:rPr>
          <w:sz w:val="22"/>
        </w:rPr>
        <w:t>accuracy in the information being provided, accountability, and regular follow up</w:t>
      </w:r>
      <w:r w:rsidR="00C67E84">
        <w:rPr>
          <w:sz w:val="22"/>
        </w:rPr>
        <w:t xml:space="preserve"> to enrollment</w:t>
      </w:r>
      <w:r w:rsidR="00334929">
        <w:rPr>
          <w:sz w:val="22"/>
        </w:rPr>
        <w:t>. SEA resources will be provided to support strategic outreach efforts</w:t>
      </w:r>
      <w:r w:rsidR="00C67E84">
        <w:rPr>
          <w:sz w:val="22"/>
        </w:rPr>
        <w:t xml:space="preserve"> that will help increase the rate in which students enroll in courses at Pierce College. </w:t>
      </w:r>
    </w:p>
    <w:p w:rsidR="00C67E84" w:rsidRDefault="00567319" w:rsidP="00567319">
      <w:pPr>
        <w:pStyle w:val="BodyText"/>
        <w:numPr>
          <w:ilvl w:val="0"/>
          <w:numId w:val="21"/>
        </w:numPr>
        <w:spacing w:before="1"/>
        <w:ind w:right="420"/>
        <w:rPr>
          <w:sz w:val="22"/>
        </w:rPr>
      </w:pPr>
      <w:r w:rsidRPr="00567319">
        <w:rPr>
          <w:sz w:val="22"/>
          <w:u w:val="single"/>
        </w:rPr>
        <w:t>New Student Programs:</w:t>
      </w:r>
      <w:r>
        <w:rPr>
          <w:sz w:val="22"/>
        </w:rPr>
        <w:t xml:space="preserve"> Focused counseling, </w:t>
      </w:r>
      <w:r w:rsidR="00965284">
        <w:rPr>
          <w:sz w:val="22"/>
        </w:rPr>
        <w:t>enhanced orientation efforts</w:t>
      </w:r>
      <w:r>
        <w:rPr>
          <w:sz w:val="22"/>
        </w:rPr>
        <w:t>, Summer Bridge, #</w:t>
      </w:r>
      <w:proofErr w:type="spellStart"/>
      <w:r>
        <w:rPr>
          <w:sz w:val="22"/>
        </w:rPr>
        <w:t>piercesuccess</w:t>
      </w:r>
      <w:proofErr w:type="spellEnd"/>
      <w:r>
        <w:rPr>
          <w:sz w:val="22"/>
        </w:rPr>
        <w:t xml:space="preserve"> </w:t>
      </w:r>
    </w:p>
    <w:p w:rsidR="006B2983" w:rsidRDefault="00334929" w:rsidP="006B2983">
      <w:pPr>
        <w:pStyle w:val="BodyText"/>
        <w:spacing w:before="1"/>
        <w:ind w:left="900" w:right="420"/>
        <w:rPr>
          <w:sz w:val="22"/>
        </w:rPr>
      </w:pPr>
      <w:r>
        <w:rPr>
          <w:sz w:val="22"/>
        </w:rPr>
        <w:t>Once students have applied</w:t>
      </w:r>
      <w:r w:rsidR="00C67E84">
        <w:rPr>
          <w:sz w:val="22"/>
        </w:rPr>
        <w:t xml:space="preserve"> and registered into courses, the</w:t>
      </w:r>
      <w:r>
        <w:rPr>
          <w:sz w:val="22"/>
        </w:rPr>
        <w:t xml:space="preserve"> college</w:t>
      </w:r>
      <w:r w:rsidR="00E40D25">
        <w:rPr>
          <w:sz w:val="22"/>
        </w:rPr>
        <w:t xml:space="preserve"> offers a comprehensive summer bridge program and other opportunities for new students entering the college to transition into the college campus life. Our 8-week long Summer Bridge Program</w:t>
      </w:r>
      <w:r w:rsidR="00194306">
        <w:rPr>
          <w:sz w:val="22"/>
        </w:rPr>
        <w:t xml:space="preserve"> provides an opportunity for students to kick start their educational goals, offering an English, math or communications course in conjunction with Counseling 40, a college success seminar</w:t>
      </w:r>
      <w:r w:rsidR="006B2983">
        <w:rPr>
          <w:sz w:val="22"/>
        </w:rPr>
        <w:t>, focusing on critical thinking, learning strategies and time management.</w:t>
      </w:r>
      <w:r w:rsidR="00194306">
        <w:rPr>
          <w:sz w:val="22"/>
        </w:rPr>
        <w:t xml:space="preserve"> </w:t>
      </w:r>
      <w:r w:rsidR="00E40D25">
        <w:rPr>
          <w:sz w:val="22"/>
        </w:rPr>
        <w:t xml:space="preserve"> The college also provides</w:t>
      </w:r>
      <w:r>
        <w:rPr>
          <w:sz w:val="22"/>
        </w:rPr>
        <w:t xml:space="preserve"> various programs to provide follow up services, </w:t>
      </w:r>
      <w:r w:rsidR="00C67E84">
        <w:rPr>
          <w:sz w:val="22"/>
        </w:rPr>
        <w:t>including invitations to GO Days (general orientation)</w:t>
      </w:r>
      <w:r w:rsidR="00C072BC">
        <w:rPr>
          <w:sz w:val="22"/>
        </w:rPr>
        <w:t xml:space="preserve">, </w:t>
      </w:r>
      <w:r w:rsidR="006B2983">
        <w:rPr>
          <w:sz w:val="22"/>
        </w:rPr>
        <w:t>#</w:t>
      </w:r>
      <w:proofErr w:type="spellStart"/>
      <w:r w:rsidR="006B2983">
        <w:rPr>
          <w:sz w:val="22"/>
        </w:rPr>
        <w:t>piercesuccess</w:t>
      </w:r>
      <w:proofErr w:type="spellEnd"/>
      <w:r w:rsidR="006B2983">
        <w:rPr>
          <w:sz w:val="22"/>
        </w:rPr>
        <w:t xml:space="preserve">, and </w:t>
      </w:r>
      <w:r w:rsidR="00C072BC">
        <w:rPr>
          <w:sz w:val="22"/>
        </w:rPr>
        <w:t xml:space="preserve">specialized orientation (for specific populations, </w:t>
      </w:r>
      <w:r>
        <w:rPr>
          <w:sz w:val="22"/>
        </w:rPr>
        <w:t>such</w:t>
      </w:r>
      <w:r w:rsidR="00C072BC">
        <w:rPr>
          <w:sz w:val="22"/>
        </w:rPr>
        <w:t xml:space="preserve"> foster youth and African American/Black students). </w:t>
      </w:r>
      <w:r w:rsidR="00965284">
        <w:rPr>
          <w:sz w:val="22"/>
        </w:rPr>
        <w:t xml:space="preserve">GO Days now includes breakout sessions to offer increased educational planning, transfer basics and career education. The college </w:t>
      </w:r>
      <w:r w:rsidR="00C072BC">
        <w:rPr>
          <w:sz w:val="22"/>
        </w:rPr>
        <w:t>continue</w:t>
      </w:r>
      <w:r w:rsidR="00965284">
        <w:rPr>
          <w:sz w:val="22"/>
        </w:rPr>
        <w:t>s</w:t>
      </w:r>
      <w:r w:rsidR="00C072BC">
        <w:rPr>
          <w:sz w:val="22"/>
        </w:rPr>
        <w:t xml:space="preserve"> to provide support to new </w:t>
      </w:r>
      <w:r w:rsidR="00DF2982">
        <w:rPr>
          <w:sz w:val="22"/>
        </w:rPr>
        <w:t xml:space="preserve">applicants </w:t>
      </w:r>
      <w:r w:rsidR="00C072BC">
        <w:rPr>
          <w:sz w:val="22"/>
        </w:rPr>
        <w:t xml:space="preserve">entering Pierce College </w:t>
      </w:r>
      <w:r w:rsidR="00DF2982">
        <w:rPr>
          <w:sz w:val="22"/>
        </w:rPr>
        <w:t>through its New Student Programs, a support that focuses specialized counseling and resources for first time college students</w:t>
      </w:r>
      <w:r w:rsidR="007B0CA6">
        <w:rPr>
          <w:sz w:val="22"/>
        </w:rPr>
        <w:t xml:space="preserve">. </w:t>
      </w:r>
    </w:p>
    <w:p w:rsidR="00567319" w:rsidRDefault="00567319" w:rsidP="006B2983">
      <w:pPr>
        <w:pStyle w:val="BodyText"/>
        <w:numPr>
          <w:ilvl w:val="0"/>
          <w:numId w:val="21"/>
        </w:numPr>
        <w:spacing w:before="1"/>
        <w:ind w:right="420"/>
        <w:rPr>
          <w:sz w:val="22"/>
        </w:rPr>
      </w:pPr>
      <w:r w:rsidRPr="00567319">
        <w:rPr>
          <w:sz w:val="22"/>
          <w:u w:val="single"/>
        </w:rPr>
        <w:t>Learning Communities</w:t>
      </w:r>
      <w:r>
        <w:rPr>
          <w:sz w:val="22"/>
        </w:rPr>
        <w:t>: Umoja, Veterans, Guardian Scholars</w:t>
      </w:r>
    </w:p>
    <w:p w:rsidR="000D4EEF" w:rsidRDefault="00334929" w:rsidP="00567319">
      <w:pPr>
        <w:pStyle w:val="BodyText"/>
        <w:spacing w:before="1"/>
        <w:ind w:left="900" w:right="420"/>
        <w:rPr>
          <w:sz w:val="22"/>
        </w:rPr>
      </w:pPr>
      <w:r>
        <w:rPr>
          <w:sz w:val="22"/>
        </w:rPr>
        <w:t xml:space="preserve">SEA resources </w:t>
      </w:r>
      <w:r w:rsidR="008E44EA">
        <w:rPr>
          <w:sz w:val="22"/>
        </w:rPr>
        <w:t>help</w:t>
      </w:r>
      <w:r>
        <w:rPr>
          <w:sz w:val="22"/>
        </w:rPr>
        <w:t xml:space="preserve"> to ensure that counselors who specialize in new students are available to support them during their first year, dedicated Summer Bridge programs </w:t>
      </w:r>
      <w:r w:rsidR="006A5A2D">
        <w:rPr>
          <w:sz w:val="22"/>
        </w:rPr>
        <w:t xml:space="preserve">are an option to support the transition from high school to college, </w:t>
      </w:r>
      <w:r w:rsidR="006B2983">
        <w:rPr>
          <w:sz w:val="22"/>
        </w:rPr>
        <w:t xml:space="preserve">while programs like Freshman Academy allow students to move through their first year with a cohort of their peers. Smaller, more focused orientations </w:t>
      </w:r>
      <w:r w:rsidR="006A5A2D">
        <w:rPr>
          <w:sz w:val="22"/>
        </w:rPr>
        <w:t xml:space="preserve">are offered </w:t>
      </w:r>
      <w:r w:rsidR="006B2983">
        <w:rPr>
          <w:sz w:val="22"/>
        </w:rPr>
        <w:t xml:space="preserve">to our </w:t>
      </w:r>
      <w:r w:rsidR="006A5A2D">
        <w:rPr>
          <w:sz w:val="22"/>
        </w:rPr>
        <w:t>smaller learning communities, such as Umoja</w:t>
      </w:r>
      <w:r w:rsidR="00310F8B">
        <w:rPr>
          <w:sz w:val="22"/>
        </w:rPr>
        <w:t>.</w:t>
      </w:r>
      <w:r w:rsidR="00567319">
        <w:rPr>
          <w:sz w:val="22"/>
        </w:rPr>
        <w:t xml:space="preserve"> Additionally,</w:t>
      </w:r>
      <w:r w:rsidR="00310F8B">
        <w:rPr>
          <w:sz w:val="22"/>
        </w:rPr>
        <w:t xml:space="preserve"> resources </w:t>
      </w:r>
      <w:r w:rsidR="006B2983">
        <w:rPr>
          <w:sz w:val="22"/>
        </w:rPr>
        <w:t xml:space="preserve">are </w:t>
      </w:r>
      <w:r w:rsidR="00310F8B">
        <w:rPr>
          <w:sz w:val="22"/>
        </w:rPr>
        <w:t>allocated to our Guardian Scholars program, which provides high touch support</w:t>
      </w:r>
      <w:r w:rsidR="006A5A2D">
        <w:rPr>
          <w:sz w:val="22"/>
        </w:rPr>
        <w:t xml:space="preserve"> </w:t>
      </w:r>
      <w:r w:rsidR="003813CF">
        <w:rPr>
          <w:sz w:val="22"/>
        </w:rPr>
        <w:t xml:space="preserve">for students who identify at current or former foster youth to achieve their educational goals. The supports may include: specialized counseling, text book rental programs, support to enroll in courses and focused workshops. </w:t>
      </w:r>
      <w:r w:rsidR="006A5A2D">
        <w:rPr>
          <w:sz w:val="22"/>
        </w:rPr>
        <w:t xml:space="preserve"> </w:t>
      </w:r>
    </w:p>
    <w:p w:rsidR="00705618" w:rsidRDefault="00705618" w:rsidP="00567319">
      <w:pPr>
        <w:pStyle w:val="BodyText"/>
        <w:numPr>
          <w:ilvl w:val="0"/>
          <w:numId w:val="21"/>
        </w:numPr>
        <w:spacing w:before="1"/>
        <w:ind w:right="420"/>
        <w:rPr>
          <w:sz w:val="22"/>
          <w:u w:val="single"/>
        </w:rPr>
      </w:pPr>
      <w:r>
        <w:rPr>
          <w:sz w:val="22"/>
          <w:u w:val="single"/>
        </w:rPr>
        <w:t xml:space="preserve">Senior Day: </w:t>
      </w:r>
    </w:p>
    <w:p w:rsidR="00705618" w:rsidRPr="00705618" w:rsidRDefault="00705618" w:rsidP="00705618">
      <w:pPr>
        <w:pStyle w:val="BodyText"/>
        <w:spacing w:before="1"/>
        <w:ind w:left="900" w:right="420"/>
        <w:rPr>
          <w:sz w:val="22"/>
        </w:rPr>
      </w:pPr>
      <w:r>
        <w:rPr>
          <w:sz w:val="22"/>
        </w:rPr>
        <w:t xml:space="preserve">The college hosts an annual Senior Day, an event focused on local high school seniors considering attending Pierce College. The event includes up to 600 seniors from 10-13 local high schools, allowing them to participate in a guided tour, participate in classroom instruction, learn about the campus and its resources.  Through this event a significant number of high school seniors </w:t>
      </w:r>
      <w:r w:rsidR="00514248">
        <w:rPr>
          <w:sz w:val="22"/>
        </w:rPr>
        <w:t xml:space="preserve">connect with counselors and other staff that can support them through the enrollment process. </w:t>
      </w:r>
    </w:p>
    <w:p w:rsidR="00567319" w:rsidRPr="00567319" w:rsidRDefault="00514248" w:rsidP="00567319">
      <w:pPr>
        <w:pStyle w:val="BodyText"/>
        <w:numPr>
          <w:ilvl w:val="0"/>
          <w:numId w:val="21"/>
        </w:numPr>
        <w:spacing w:before="1"/>
        <w:ind w:right="420"/>
        <w:rPr>
          <w:sz w:val="22"/>
          <w:u w:val="single"/>
        </w:rPr>
      </w:pPr>
      <w:r>
        <w:rPr>
          <w:sz w:val="22"/>
          <w:u w:val="single"/>
        </w:rPr>
        <w:t xml:space="preserve">Information Desk &amp; </w:t>
      </w:r>
      <w:r w:rsidR="00567319" w:rsidRPr="00567319">
        <w:rPr>
          <w:sz w:val="22"/>
          <w:u w:val="single"/>
        </w:rPr>
        <w:t>Chabot</w:t>
      </w:r>
    </w:p>
    <w:p w:rsidR="00514248" w:rsidRDefault="00514248" w:rsidP="001315FB">
      <w:pPr>
        <w:pStyle w:val="BodyText"/>
        <w:spacing w:before="1"/>
        <w:ind w:left="900" w:right="420"/>
        <w:rPr>
          <w:sz w:val="22"/>
        </w:rPr>
      </w:pPr>
      <w:r>
        <w:rPr>
          <w:sz w:val="22"/>
        </w:rPr>
        <w:t xml:space="preserve">Pierce College’s Information Desk serves as a one stop shop for general information related to admissions and enrollment. </w:t>
      </w:r>
      <w:r w:rsidR="008D42E5">
        <w:rPr>
          <w:sz w:val="22"/>
        </w:rPr>
        <w:t>Beginning in Fall 2019, Pierce College will be launching</w:t>
      </w:r>
      <w:r w:rsidR="00B648FB">
        <w:rPr>
          <w:sz w:val="22"/>
        </w:rPr>
        <w:t xml:space="preserve"> a chatbot connected to our college website </w:t>
      </w:r>
      <w:r w:rsidR="00AC700E">
        <w:rPr>
          <w:sz w:val="22"/>
        </w:rPr>
        <w:t>that</w:t>
      </w:r>
      <w:r w:rsidR="00B648FB">
        <w:rPr>
          <w:sz w:val="22"/>
        </w:rPr>
        <w:t xml:space="preserve"> will allow for prospective, new and current students to obtain information on the college, how to apply and enroll answer any general questions 24/7. </w:t>
      </w:r>
      <w:r w:rsidR="00AC700E">
        <w:rPr>
          <w:sz w:val="22"/>
        </w:rPr>
        <w:t>In collaboration with our guided pathway efforts, t</w:t>
      </w:r>
      <w:r w:rsidR="00B648FB">
        <w:rPr>
          <w:sz w:val="22"/>
        </w:rPr>
        <w:t>he chatbot aims to decrease disparity between the number of applications received and number of actual enrollments in general.</w:t>
      </w:r>
    </w:p>
    <w:p w:rsidR="001315FB" w:rsidRDefault="001315FB">
      <w:pPr>
        <w:rPr>
          <w:szCs w:val="24"/>
        </w:rPr>
      </w:pPr>
      <w:r>
        <w:br w:type="page"/>
      </w:r>
    </w:p>
    <w:p w:rsidR="001315FB" w:rsidRPr="001315FB" w:rsidRDefault="001315FB" w:rsidP="001315FB">
      <w:pPr>
        <w:pStyle w:val="BodyText"/>
        <w:spacing w:before="1"/>
        <w:ind w:left="900" w:right="420"/>
        <w:rPr>
          <w:sz w:val="22"/>
        </w:rPr>
      </w:pPr>
    </w:p>
    <w:p w:rsidR="00B92839" w:rsidRDefault="00B92839" w:rsidP="003813CF">
      <w:pPr>
        <w:pStyle w:val="BodyText"/>
        <w:spacing w:before="1"/>
        <w:ind w:left="900" w:right="420"/>
        <w:rPr>
          <w:b/>
          <w:i/>
          <w:sz w:val="22"/>
        </w:rPr>
      </w:pPr>
      <w:r w:rsidRPr="00567319">
        <w:rPr>
          <w:b/>
          <w:i/>
          <w:sz w:val="22"/>
        </w:rPr>
        <w:t>METRIC 1:</w:t>
      </w:r>
      <w:r>
        <w:rPr>
          <w:b/>
          <w:i/>
          <w:sz w:val="22"/>
        </w:rPr>
        <w:t xml:space="preserve"> RESOURCES</w:t>
      </w:r>
    </w:p>
    <w:p w:rsidR="006B2983" w:rsidRDefault="006B2983" w:rsidP="003813CF">
      <w:pPr>
        <w:pStyle w:val="BodyText"/>
        <w:spacing w:before="1"/>
        <w:ind w:left="900" w:right="420"/>
        <w:rPr>
          <w:b/>
          <w:sz w:val="20"/>
        </w:rPr>
      </w:pPr>
    </w:p>
    <w:p w:rsidR="00514248" w:rsidRDefault="006B2983" w:rsidP="00514248">
      <w:pPr>
        <w:pStyle w:val="BodyText"/>
        <w:spacing w:before="1"/>
        <w:ind w:left="900" w:right="420"/>
        <w:rPr>
          <w:sz w:val="22"/>
          <w:szCs w:val="22"/>
        </w:rPr>
      </w:pPr>
      <w:r w:rsidRPr="00A169CE">
        <w:rPr>
          <w:b/>
          <w:sz w:val="22"/>
          <w:szCs w:val="22"/>
        </w:rPr>
        <w:t>Table</w:t>
      </w:r>
      <w:r w:rsidR="00A169CE" w:rsidRPr="00A169CE">
        <w:rPr>
          <w:b/>
          <w:sz w:val="22"/>
          <w:szCs w:val="22"/>
        </w:rPr>
        <w:t>5.2</w:t>
      </w:r>
      <w:r w:rsidRPr="00A169CE">
        <w:rPr>
          <w:b/>
          <w:sz w:val="22"/>
          <w:szCs w:val="22"/>
        </w:rPr>
        <w:t>: Estimated SEA funding allocated to activities related to successful enrollment</w:t>
      </w:r>
    </w:p>
    <w:tbl>
      <w:tblPr>
        <w:tblStyle w:val="TableGrid"/>
        <w:tblW w:w="8200" w:type="dxa"/>
        <w:tblInd w:w="865" w:type="dxa"/>
        <w:tblLook w:val="04A0" w:firstRow="1" w:lastRow="0" w:firstColumn="1" w:lastColumn="0" w:noHBand="0" w:noVBand="1"/>
        <w:tblCaption w:val="Estimated SEA funding allocated to activities related to successful enrollment"/>
        <w:tblDescription w:val="Estimated SEA funding allocated to activities related to successful enrollment"/>
      </w:tblPr>
      <w:tblGrid>
        <w:gridCol w:w="2700"/>
        <w:gridCol w:w="2800"/>
        <w:gridCol w:w="2700"/>
      </w:tblGrid>
      <w:tr w:rsidR="00514248" w:rsidRPr="00514248" w:rsidTr="00A72BF6">
        <w:trPr>
          <w:trHeight w:val="615"/>
        </w:trPr>
        <w:tc>
          <w:tcPr>
            <w:tcW w:w="2700" w:type="dxa"/>
            <w:hideMark/>
          </w:tcPr>
          <w:p w:rsidR="00514248" w:rsidRPr="00514248" w:rsidRDefault="00514248" w:rsidP="00846678">
            <w:pPr>
              <w:jc w:val="center"/>
              <w:rPr>
                <w:rFonts w:eastAsia="Times New Roman"/>
                <w:b/>
                <w:bCs/>
                <w:color w:val="000000"/>
                <w:lang w:bidi="ar-SA"/>
              </w:rPr>
            </w:pPr>
            <w:r w:rsidRPr="00514248">
              <w:rPr>
                <w:rFonts w:eastAsia="Times New Roman"/>
                <w:b/>
                <w:bCs/>
                <w:color w:val="000000"/>
                <w:lang w:bidi="ar-SA"/>
              </w:rPr>
              <w:t xml:space="preserve">Success Metric   </w:t>
            </w:r>
          </w:p>
        </w:tc>
        <w:tc>
          <w:tcPr>
            <w:tcW w:w="2800" w:type="dxa"/>
            <w:hideMark/>
          </w:tcPr>
          <w:p w:rsidR="00514248" w:rsidRPr="00514248" w:rsidRDefault="00514248" w:rsidP="00846678">
            <w:pPr>
              <w:widowControl/>
              <w:autoSpaceDE/>
              <w:autoSpaceDN/>
              <w:jc w:val="center"/>
              <w:rPr>
                <w:rFonts w:eastAsia="Times New Roman"/>
                <w:b/>
                <w:bCs/>
                <w:color w:val="000000"/>
                <w:lang w:bidi="ar-SA"/>
              </w:rPr>
            </w:pPr>
            <w:r w:rsidRPr="00514248">
              <w:rPr>
                <w:rFonts w:eastAsia="Times New Roman"/>
                <w:b/>
                <w:bCs/>
                <w:color w:val="000000"/>
                <w:lang w:bidi="ar-SA"/>
              </w:rPr>
              <w:t>Activity</w:t>
            </w:r>
          </w:p>
        </w:tc>
        <w:tc>
          <w:tcPr>
            <w:tcW w:w="2700" w:type="dxa"/>
            <w:hideMark/>
          </w:tcPr>
          <w:p w:rsidR="00514248" w:rsidRPr="00514248" w:rsidRDefault="00514248" w:rsidP="00846678">
            <w:pPr>
              <w:widowControl/>
              <w:autoSpaceDE/>
              <w:autoSpaceDN/>
              <w:jc w:val="center"/>
              <w:rPr>
                <w:rFonts w:eastAsia="Times New Roman"/>
                <w:b/>
                <w:bCs/>
                <w:color w:val="000000"/>
                <w:lang w:bidi="ar-SA"/>
              </w:rPr>
            </w:pPr>
            <w:r w:rsidRPr="00514248">
              <w:rPr>
                <w:rFonts w:eastAsia="Times New Roman"/>
                <w:b/>
                <w:bCs/>
                <w:color w:val="000000"/>
                <w:lang w:bidi="ar-SA"/>
              </w:rPr>
              <w:t>Estimated 2019-2020 Expenditures</w:t>
            </w:r>
          </w:p>
        </w:tc>
      </w:tr>
      <w:tr w:rsidR="001E5159" w:rsidRPr="00514248" w:rsidTr="00A72BF6">
        <w:trPr>
          <w:trHeight w:val="300"/>
        </w:trPr>
        <w:tc>
          <w:tcPr>
            <w:tcW w:w="2700" w:type="dxa"/>
            <w:hideMark/>
          </w:tcPr>
          <w:p w:rsidR="001E5159" w:rsidRPr="00514248" w:rsidRDefault="001E5159" w:rsidP="00846678">
            <w:pPr>
              <w:widowControl/>
              <w:autoSpaceDE/>
              <w:autoSpaceDN/>
              <w:rPr>
                <w:rFonts w:eastAsia="Times New Roman"/>
                <w:color w:val="000000"/>
                <w:lang w:bidi="ar-SA"/>
              </w:rPr>
            </w:pPr>
            <w:r w:rsidRPr="00514248">
              <w:rPr>
                <w:rFonts w:eastAsia="Times New Roman"/>
                <w:color w:val="000000"/>
                <w:lang w:bidi="ar-SA"/>
              </w:rPr>
              <w:t xml:space="preserve">Successful Enrollment </w:t>
            </w:r>
          </w:p>
        </w:tc>
        <w:tc>
          <w:tcPr>
            <w:tcW w:w="2800" w:type="dxa"/>
            <w:hideMark/>
          </w:tcPr>
          <w:p w:rsidR="001E5159" w:rsidRPr="00514248" w:rsidRDefault="001E5159" w:rsidP="00846678">
            <w:pPr>
              <w:widowControl/>
              <w:autoSpaceDE/>
              <w:autoSpaceDN/>
              <w:rPr>
                <w:rFonts w:eastAsia="Times New Roman"/>
                <w:color w:val="000000"/>
                <w:lang w:bidi="ar-SA"/>
              </w:rPr>
            </w:pPr>
            <w:r w:rsidRPr="00514248">
              <w:rPr>
                <w:rFonts w:eastAsia="Times New Roman"/>
                <w:color w:val="000000"/>
                <w:lang w:bidi="ar-SA"/>
              </w:rPr>
              <w:t>Academic Outreach</w:t>
            </w:r>
          </w:p>
        </w:tc>
        <w:tc>
          <w:tcPr>
            <w:tcW w:w="2700" w:type="dxa"/>
            <w:hideMark/>
          </w:tcPr>
          <w:p w:rsidR="001E5159" w:rsidRPr="00514248" w:rsidRDefault="001E5159" w:rsidP="00846678">
            <w:pPr>
              <w:widowControl/>
              <w:autoSpaceDE/>
              <w:autoSpaceDN/>
              <w:jc w:val="right"/>
              <w:rPr>
                <w:rFonts w:eastAsia="Times New Roman"/>
                <w:color w:val="000000"/>
                <w:lang w:bidi="ar-SA"/>
              </w:rPr>
            </w:pPr>
            <w:r w:rsidRPr="00514248">
              <w:rPr>
                <w:rFonts w:eastAsia="Times New Roman"/>
                <w:color w:val="000000"/>
                <w:lang w:bidi="ar-SA"/>
              </w:rPr>
              <w:t>$182,500</w:t>
            </w:r>
          </w:p>
        </w:tc>
      </w:tr>
      <w:tr w:rsidR="001E5159" w:rsidRPr="00514248" w:rsidTr="00A72BF6">
        <w:trPr>
          <w:trHeight w:val="1200"/>
        </w:trPr>
        <w:tc>
          <w:tcPr>
            <w:tcW w:w="2700" w:type="dxa"/>
            <w:hideMark/>
          </w:tcPr>
          <w:p w:rsidR="001E5159" w:rsidRPr="00514248" w:rsidRDefault="001E5159" w:rsidP="00846678">
            <w:pPr>
              <w:widowControl/>
              <w:autoSpaceDE/>
              <w:autoSpaceDN/>
              <w:rPr>
                <w:rFonts w:eastAsia="Times New Roman"/>
                <w:color w:val="000000"/>
                <w:lang w:bidi="ar-SA"/>
              </w:rPr>
            </w:pPr>
          </w:p>
        </w:tc>
        <w:tc>
          <w:tcPr>
            <w:tcW w:w="2800" w:type="dxa"/>
            <w:hideMark/>
          </w:tcPr>
          <w:p w:rsidR="001E5159" w:rsidRPr="00514248" w:rsidRDefault="001E5159" w:rsidP="00846678">
            <w:pPr>
              <w:widowControl/>
              <w:autoSpaceDE/>
              <w:autoSpaceDN/>
              <w:rPr>
                <w:rFonts w:eastAsia="Times New Roman"/>
                <w:color w:val="000000"/>
                <w:lang w:bidi="ar-SA"/>
              </w:rPr>
            </w:pPr>
            <w:r w:rsidRPr="00514248">
              <w:rPr>
                <w:rFonts w:eastAsia="Times New Roman"/>
                <w:color w:val="000000"/>
                <w:lang w:bidi="ar-SA"/>
              </w:rPr>
              <w:t>New Student Programs: Summer onboarding activities (Summer Bridge, #</w:t>
            </w:r>
            <w:proofErr w:type="spellStart"/>
            <w:r w:rsidRPr="00514248">
              <w:rPr>
                <w:rFonts w:eastAsia="Times New Roman"/>
                <w:color w:val="000000"/>
                <w:lang w:bidi="ar-SA"/>
              </w:rPr>
              <w:t>piercesuccess</w:t>
            </w:r>
            <w:proofErr w:type="spellEnd"/>
            <w:r w:rsidRPr="00514248">
              <w:rPr>
                <w:rFonts w:eastAsia="Times New Roman"/>
                <w:color w:val="000000"/>
                <w:lang w:bidi="ar-SA"/>
              </w:rPr>
              <w:t>, GO Days)</w:t>
            </w:r>
          </w:p>
        </w:tc>
        <w:tc>
          <w:tcPr>
            <w:tcW w:w="2700" w:type="dxa"/>
            <w:hideMark/>
          </w:tcPr>
          <w:p w:rsidR="001E5159" w:rsidRPr="00514248" w:rsidRDefault="001E5159" w:rsidP="00846678">
            <w:pPr>
              <w:widowControl/>
              <w:autoSpaceDE/>
              <w:autoSpaceDN/>
              <w:jc w:val="right"/>
              <w:rPr>
                <w:rFonts w:eastAsia="Times New Roman"/>
                <w:color w:val="000000"/>
                <w:lang w:bidi="ar-SA"/>
              </w:rPr>
            </w:pPr>
            <w:r w:rsidRPr="00514248">
              <w:rPr>
                <w:rFonts w:eastAsia="Times New Roman"/>
                <w:color w:val="000000"/>
                <w:lang w:bidi="ar-SA"/>
              </w:rPr>
              <w:t>$243,110</w:t>
            </w:r>
          </w:p>
        </w:tc>
      </w:tr>
      <w:tr w:rsidR="001E5159" w:rsidRPr="00514248" w:rsidTr="00A72BF6">
        <w:trPr>
          <w:trHeight w:val="600"/>
        </w:trPr>
        <w:tc>
          <w:tcPr>
            <w:tcW w:w="2700" w:type="dxa"/>
            <w:hideMark/>
          </w:tcPr>
          <w:p w:rsidR="001E5159" w:rsidRPr="00514248" w:rsidRDefault="001E5159" w:rsidP="00846678">
            <w:pPr>
              <w:widowControl/>
              <w:autoSpaceDE/>
              <w:autoSpaceDN/>
              <w:rPr>
                <w:rFonts w:eastAsia="Times New Roman"/>
                <w:color w:val="000000"/>
                <w:lang w:bidi="ar-SA"/>
              </w:rPr>
            </w:pPr>
          </w:p>
        </w:tc>
        <w:tc>
          <w:tcPr>
            <w:tcW w:w="2800" w:type="dxa"/>
            <w:hideMark/>
          </w:tcPr>
          <w:p w:rsidR="001E5159" w:rsidRPr="00514248" w:rsidRDefault="001E5159" w:rsidP="00846678">
            <w:pPr>
              <w:widowControl/>
              <w:autoSpaceDE/>
              <w:autoSpaceDN/>
              <w:rPr>
                <w:rFonts w:eastAsia="Times New Roman"/>
                <w:color w:val="000000"/>
                <w:lang w:bidi="ar-SA"/>
              </w:rPr>
            </w:pPr>
            <w:r w:rsidRPr="00514248">
              <w:rPr>
                <w:rFonts w:eastAsia="Times New Roman"/>
                <w:color w:val="000000"/>
                <w:lang w:bidi="ar-SA"/>
              </w:rPr>
              <w:t>New Student Programs: Specialized Counseling</w:t>
            </w:r>
          </w:p>
        </w:tc>
        <w:tc>
          <w:tcPr>
            <w:tcW w:w="2700" w:type="dxa"/>
            <w:hideMark/>
          </w:tcPr>
          <w:p w:rsidR="001E5159" w:rsidRPr="00514248" w:rsidRDefault="001E5159" w:rsidP="00846678">
            <w:pPr>
              <w:widowControl/>
              <w:autoSpaceDE/>
              <w:autoSpaceDN/>
              <w:jc w:val="right"/>
              <w:rPr>
                <w:rFonts w:eastAsia="Times New Roman"/>
                <w:color w:val="000000"/>
                <w:lang w:bidi="ar-SA"/>
              </w:rPr>
            </w:pPr>
            <w:r w:rsidRPr="00514248">
              <w:rPr>
                <w:rFonts w:eastAsia="Times New Roman"/>
                <w:color w:val="000000"/>
                <w:lang w:bidi="ar-SA"/>
              </w:rPr>
              <w:t>$413,226</w:t>
            </w:r>
          </w:p>
        </w:tc>
      </w:tr>
      <w:tr w:rsidR="001E5159" w:rsidRPr="00514248" w:rsidTr="00A72BF6">
        <w:trPr>
          <w:trHeight w:val="300"/>
        </w:trPr>
        <w:tc>
          <w:tcPr>
            <w:tcW w:w="2700" w:type="dxa"/>
            <w:hideMark/>
          </w:tcPr>
          <w:p w:rsidR="001E5159" w:rsidRPr="00514248" w:rsidRDefault="001E5159" w:rsidP="00846678">
            <w:pPr>
              <w:widowControl/>
              <w:autoSpaceDE/>
              <w:autoSpaceDN/>
              <w:rPr>
                <w:rFonts w:eastAsia="Times New Roman"/>
                <w:color w:val="000000"/>
                <w:lang w:bidi="ar-SA"/>
              </w:rPr>
            </w:pPr>
          </w:p>
        </w:tc>
        <w:tc>
          <w:tcPr>
            <w:tcW w:w="2800" w:type="dxa"/>
            <w:hideMark/>
          </w:tcPr>
          <w:p w:rsidR="001E5159" w:rsidRPr="00514248" w:rsidRDefault="001E5159" w:rsidP="00846678">
            <w:pPr>
              <w:widowControl/>
              <w:autoSpaceDE/>
              <w:autoSpaceDN/>
              <w:rPr>
                <w:rFonts w:eastAsia="Times New Roman"/>
                <w:color w:val="000000"/>
                <w:lang w:bidi="ar-SA"/>
              </w:rPr>
            </w:pPr>
            <w:r>
              <w:rPr>
                <w:rFonts w:eastAsia="Times New Roman"/>
                <w:color w:val="000000"/>
                <w:lang w:bidi="ar-SA"/>
              </w:rPr>
              <w:t xml:space="preserve"> Guardian Scholars</w:t>
            </w:r>
          </w:p>
        </w:tc>
        <w:tc>
          <w:tcPr>
            <w:tcW w:w="2700" w:type="dxa"/>
            <w:hideMark/>
          </w:tcPr>
          <w:p w:rsidR="001E5159" w:rsidRPr="00514248" w:rsidRDefault="001E5159" w:rsidP="00846678">
            <w:pPr>
              <w:widowControl/>
              <w:autoSpaceDE/>
              <w:autoSpaceDN/>
              <w:jc w:val="right"/>
              <w:rPr>
                <w:rFonts w:eastAsia="Times New Roman"/>
                <w:color w:val="000000"/>
                <w:lang w:bidi="ar-SA"/>
              </w:rPr>
            </w:pPr>
            <w:r w:rsidRPr="00514248">
              <w:rPr>
                <w:rFonts w:eastAsia="Times New Roman"/>
                <w:color w:val="000000"/>
                <w:lang w:bidi="ar-SA"/>
              </w:rPr>
              <w:t>$18,000</w:t>
            </w:r>
          </w:p>
        </w:tc>
      </w:tr>
      <w:tr w:rsidR="001E5159" w:rsidRPr="00514248" w:rsidTr="00A72BF6">
        <w:trPr>
          <w:trHeight w:val="300"/>
        </w:trPr>
        <w:tc>
          <w:tcPr>
            <w:tcW w:w="2700" w:type="dxa"/>
            <w:hideMark/>
          </w:tcPr>
          <w:p w:rsidR="001E5159" w:rsidRPr="00514248" w:rsidRDefault="001E5159" w:rsidP="00846678">
            <w:pPr>
              <w:widowControl/>
              <w:autoSpaceDE/>
              <w:autoSpaceDN/>
              <w:rPr>
                <w:rFonts w:eastAsia="Times New Roman"/>
                <w:color w:val="000000"/>
                <w:lang w:bidi="ar-SA"/>
              </w:rPr>
            </w:pPr>
          </w:p>
        </w:tc>
        <w:tc>
          <w:tcPr>
            <w:tcW w:w="2800" w:type="dxa"/>
            <w:hideMark/>
          </w:tcPr>
          <w:p w:rsidR="001E5159" w:rsidRPr="00514248" w:rsidRDefault="001E5159" w:rsidP="00846678">
            <w:pPr>
              <w:widowControl/>
              <w:autoSpaceDE/>
              <w:autoSpaceDN/>
              <w:rPr>
                <w:rFonts w:eastAsia="Times New Roman"/>
                <w:color w:val="000000"/>
                <w:lang w:bidi="ar-SA"/>
              </w:rPr>
            </w:pPr>
            <w:r w:rsidRPr="00514248">
              <w:rPr>
                <w:rFonts w:eastAsia="Times New Roman"/>
                <w:color w:val="000000"/>
                <w:lang w:bidi="ar-SA"/>
              </w:rPr>
              <w:t>Umoja</w:t>
            </w:r>
          </w:p>
        </w:tc>
        <w:tc>
          <w:tcPr>
            <w:tcW w:w="2700" w:type="dxa"/>
            <w:hideMark/>
          </w:tcPr>
          <w:p w:rsidR="001E5159" w:rsidRPr="00514248" w:rsidRDefault="001E5159" w:rsidP="00846678">
            <w:pPr>
              <w:widowControl/>
              <w:autoSpaceDE/>
              <w:autoSpaceDN/>
              <w:jc w:val="right"/>
              <w:rPr>
                <w:rFonts w:eastAsia="Times New Roman"/>
                <w:color w:val="000000"/>
                <w:lang w:bidi="ar-SA"/>
              </w:rPr>
            </w:pPr>
            <w:r w:rsidRPr="00514248">
              <w:rPr>
                <w:rFonts w:eastAsia="Times New Roman"/>
                <w:color w:val="000000"/>
                <w:lang w:bidi="ar-SA"/>
              </w:rPr>
              <w:t>$80,000</w:t>
            </w:r>
          </w:p>
        </w:tc>
      </w:tr>
      <w:tr w:rsidR="001E5159" w:rsidRPr="00514248" w:rsidTr="00A72BF6">
        <w:trPr>
          <w:trHeight w:val="300"/>
        </w:trPr>
        <w:tc>
          <w:tcPr>
            <w:tcW w:w="2700" w:type="dxa"/>
            <w:hideMark/>
          </w:tcPr>
          <w:p w:rsidR="001E5159" w:rsidRPr="00514248" w:rsidRDefault="001E5159" w:rsidP="00846678">
            <w:pPr>
              <w:widowControl/>
              <w:autoSpaceDE/>
              <w:autoSpaceDN/>
              <w:rPr>
                <w:rFonts w:eastAsia="Times New Roman"/>
                <w:color w:val="000000"/>
                <w:lang w:bidi="ar-SA"/>
              </w:rPr>
            </w:pPr>
          </w:p>
        </w:tc>
        <w:tc>
          <w:tcPr>
            <w:tcW w:w="2800" w:type="dxa"/>
            <w:hideMark/>
          </w:tcPr>
          <w:p w:rsidR="001E5159" w:rsidRPr="00514248" w:rsidRDefault="001E5159" w:rsidP="00846678">
            <w:pPr>
              <w:widowControl/>
              <w:autoSpaceDE/>
              <w:autoSpaceDN/>
              <w:rPr>
                <w:rFonts w:eastAsia="Times New Roman"/>
                <w:color w:val="000000"/>
                <w:lang w:bidi="ar-SA"/>
              </w:rPr>
            </w:pPr>
            <w:r w:rsidRPr="00514248">
              <w:rPr>
                <w:rFonts w:eastAsia="Times New Roman"/>
                <w:color w:val="000000"/>
                <w:lang w:bidi="ar-SA"/>
              </w:rPr>
              <w:t xml:space="preserve">Veterans Services </w:t>
            </w:r>
          </w:p>
        </w:tc>
        <w:tc>
          <w:tcPr>
            <w:tcW w:w="2700" w:type="dxa"/>
            <w:hideMark/>
          </w:tcPr>
          <w:p w:rsidR="001E5159" w:rsidRPr="00514248" w:rsidRDefault="001E5159" w:rsidP="00846678">
            <w:pPr>
              <w:widowControl/>
              <w:autoSpaceDE/>
              <w:autoSpaceDN/>
              <w:jc w:val="right"/>
              <w:rPr>
                <w:rFonts w:eastAsia="Times New Roman"/>
                <w:color w:val="000000"/>
                <w:lang w:bidi="ar-SA"/>
              </w:rPr>
            </w:pPr>
            <w:r w:rsidRPr="00514248">
              <w:rPr>
                <w:rFonts w:eastAsia="Times New Roman"/>
                <w:color w:val="000000"/>
                <w:lang w:bidi="ar-SA"/>
              </w:rPr>
              <w:t>$18,000</w:t>
            </w:r>
          </w:p>
        </w:tc>
      </w:tr>
      <w:tr w:rsidR="001E5159" w:rsidRPr="00514248" w:rsidTr="00A72BF6">
        <w:trPr>
          <w:trHeight w:val="300"/>
        </w:trPr>
        <w:tc>
          <w:tcPr>
            <w:tcW w:w="2700" w:type="dxa"/>
            <w:hideMark/>
          </w:tcPr>
          <w:p w:rsidR="001E5159" w:rsidRPr="00514248" w:rsidRDefault="001E5159" w:rsidP="00846678">
            <w:pPr>
              <w:widowControl/>
              <w:autoSpaceDE/>
              <w:autoSpaceDN/>
              <w:rPr>
                <w:rFonts w:eastAsia="Times New Roman"/>
                <w:color w:val="000000"/>
                <w:lang w:bidi="ar-SA"/>
              </w:rPr>
            </w:pPr>
          </w:p>
        </w:tc>
        <w:tc>
          <w:tcPr>
            <w:tcW w:w="2800" w:type="dxa"/>
            <w:hideMark/>
          </w:tcPr>
          <w:p w:rsidR="001E5159" w:rsidRPr="00514248" w:rsidRDefault="001E5159" w:rsidP="00846678">
            <w:pPr>
              <w:widowControl/>
              <w:autoSpaceDE/>
              <w:autoSpaceDN/>
              <w:rPr>
                <w:rFonts w:eastAsia="Times New Roman"/>
                <w:color w:val="000000"/>
                <w:lang w:bidi="ar-SA"/>
              </w:rPr>
            </w:pPr>
            <w:r w:rsidRPr="00514248">
              <w:rPr>
                <w:rFonts w:eastAsia="Times New Roman"/>
                <w:color w:val="000000"/>
                <w:lang w:bidi="ar-SA"/>
              </w:rPr>
              <w:t xml:space="preserve">Information Desk </w:t>
            </w:r>
          </w:p>
        </w:tc>
        <w:tc>
          <w:tcPr>
            <w:tcW w:w="2700" w:type="dxa"/>
            <w:hideMark/>
          </w:tcPr>
          <w:p w:rsidR="001E5159" w:rsidRPr="00514248" w:rsidRDefault="001E5159" w:rsidP="00846678">
            <w:pPr>
              <w:widowControl/>
              <w:autoSpaceDE/>
              <w:autoSpaceDN/>
              <w:jc w:val="right"/>
              <w:rPr>
                <w:rFonts w:eastAsia="Times New Roman"/>
                <w:color w:val="000000"/>
                <w:lang w:bidi="ar-SA"/>
              </w:rPr>
            </w:pPr>
            <w:r w:rsidRPr="00514248">
              <w:rPr>
                <w:rFonts w:eastAsia="Times New Roman"/>
                <w:color w:val="000000"/>
                <w:lang w:bidi="ar-SA"/>
              </w:rPr>
              <w:t>$50,000</w:t>
            </w:r>
          </w:p>
        </w:tc>
      </w:tr>
      <w:tr w:rsidR="001E5159" w:rsidRPr="00514248" w:rsidTr="00A72BF6">
        <w:trPr>
          <w:trHeight w:val="315"/>
        </w:trPr>
        <w:tc>
          <w:tcPr>
            <w:tcW w:w="2700" w:type="dxa"/>
            <w:hideMark/>
          </w:tcPr>
          <w:p w:rsidR="001E5159" w:rsidRPr="00514248" w:rsidRDefault="001E5159" w:rsidP="00846678">
            <w:pPr>
              <w:widowControl/>
              <w:autoSpaceDE/>
              <w:autoSpaceDN/>
              <w:rPr>
                <w:rFonts w:eastAsia="Times New Roman"/>
                <w:color w:val="000000"/>
                <w:lang w:bidi="ar-SA"/>
              </w:rPr>
            </w:pPr>
          </w:p>
        </w:tc>
        <w:tc>
          <w:tcPr>
            <w:tcW w:w="2800" w:type="dxa"/>
            <w:hideMark/>
          </w:tcPr>
          <w:p w:rsidR="001E5159" w:rsidRPr="00514248" w:rsidRDefault="001E5159" w:rsidP="00846678">
            <w:pPr>
              <w:widowControl/>
              <w:autoSpaceDE/>
              <w:autoSpaceDN/>
              <w:rPr>
                <w:rFonts w:eastAsia="Times New Roman"/>
                <w:b/>
                <w:bCs/>
                <w:color w:val="000000"/>
                <w:lang w:bidi="ar-SA"/>
              </w:rPr>
            </w:pPr>
            <w:r w:rsidRPr="00514248">
              <w:rPr>
                <w:rFonts w:eastAsia="Times New Roman"/>
                <w:b/>
                <w:bCs/>
                <w:color w:val="000000"/>
                <w:lang w:bidi="ar-SA"/>
              </w:rPr>
              <w:t>Total</w:t>
            </w:r>
          </w:p>
        </w:tc>
        <w:tc>
          <w:tcPr>
            <w:tcW w:w="2700" w:type="dxa"/>
            <w:hideMark/>
          </w:tcPr>
          <w:p w:rsidR="001E5159" w:rsidRPr="00514248" w:rsidRDefault="001E5159" w:rsidP="00846678">
            <w:pPr>
              <w:widowControl/>
              <w:autoSpaceDE/>
              <w:autoSpaceDN/>
              <w:jc w:val="right"/>
              <w:rPr>
                <w:rFonts w:eastAsia="Times New Roman"/>
                <w:b/>
                <w:bCs/>
                <w:color w:val="000000"/>
                <w:lang w:bidi="ar-SA"/>
              </w:rPr>
            </w:pPr>
            <w:r w:rsidRPr="00514248">
              <w:rPr>
                <w:rFonts w:eastAsia="Times New Roman"/>
                <w:b/>
                <w:bCs/>
                <w:color w:val="000000"/>
                <w:lang w:bidi="ar-SA"/>
              </w:rPr>
              <w:t>$1,004,836</w:t>
            </w:r>
          </w:p>
        </w:tc>
      </w:tr>
    </w:tbl>
    <w:p w:rsidR="00514248" w:rsidRDefault="00514248" w:rsidP="00E25F2B">
      <w:pPr>
        <w:pStyle w:val="BodyText"/>
        <w:spacing w:before="1"/>
        <w:ind w:left="900"/>
        <w:rPr>
          <w:b/>
          <w:i/>
          <w:sz w:val="22"/>
        </w:rPr>
      </w:pPr>
    </w:p>
    <w:p w:rsidR="00744929" w:rsidRPr="00567319" w:rsidRDefault="006A5A2D" w:rsidP="00E25F2B">
      <w:pPr>
        <w:pStyle w:val="BodyText"/>
        <w:spacing w:before="1"/>
        <w:ind w:left="900"/>
        <w:rPr>
          <w:b/>
          <w:i/>
          <w:sz w:val="22"/>
        </w:rPr>
      </w:pPr>
      <w:r w:rsidRPr="00567319">
        <w:rPr>
          <w:b/>
          <w:i/>
          <w:sz w:val="22"/>
        </w:rPr>
        <w:t xml:space="preserve">METRIC 2: </w:t>
      </w:r>
      <w:r w:rsidR="00744929" w:rsidRPr="00567319">
        <w:rPr>
          <w:b/>
          <w:i/>
          <w:sz w:val="22"/>
        </w:rPr>
        <w:t>FALL TO SPRING RETENTION</w:t>
      </w:r>
    </w:p>
    <w:p w:rsidR="00310F8B" w:rsidRDefault="00310F8B" w:rsidP="001315FB">
      <w:pPr>
        <w:pStyle w:val="BodyText"/>
        <w:spacing w:before="1"/>
        <w:ind w:left="900"/>
        <w:rPr>
          <w:sz w:val="22"/>
        </w:rPr>
      </w:pPr>
      <w:r>
        <w:rPr>
          <w:sz w:val="22"/>
        </w:rPr>
        <w:t xml:space="preserve">Data for this metric was obtained by the Office of Institutional Effectiveness from the CCCCO MIS system during the 2017-2018 academic year. Based on this information, </w:t>
      </w:r>
      <w:r w:rsidR="00AC700E">
        <w:rPr>
          <w:sz w:val="22"/>
        </w:rPr>
        <w:t xml:space="preserve">of </w:t>
      </w:r>
      <w:r>
        <w:rPr>
          <w:sz w:val="22"/>
        </w:rPr>
        <w:t xml:space="preserve">the 20,297 students enrolled in the fall semester, 13,590 students re-enrolled in the spring semester, providing us with an overall baseline </w:t>
      </w:r>
      <w:r w:rsidR="003813CF">
        <w:rPr>
          <w:sz w:val="22"/>
        </w:rPr>
        <w:t xml:space="preserve">rate </w:t>
      </w:r>
      <w:r>
        <w:rPr>
          <w:sz w:val="22"/>
        </w:rPr>
        <w:t>of 67% fall to spring retention. Listed in the chart below are the disproportionately impacted populations in the area of retention.</w:t>
      </w:r>
      <w:r w:rsidR="00027A51">
        <w:rPr>
          <w:sz w:val="22"/>
        </w:rPr>
        <w:t xml:space="preserve"> While a portion of this decrease is accounted for by students completing their educational goal, the data below reflects the current equity gaps in this area.</w:t>
      </w:r>
    </w:p>
    <w:p w:rsidR="00C62B4D" w:rsidRDefault="00C62B4D" w:rsidP="00E25F2B">
      <w:pPr>
        <w:pStyle w:val="BodyText"/>
        <w:spacing w:before="1"/>
        <w:ind w:left="900"/>
        <w:rPr>
          <w:sz w:val="22"/>
        </w:rPr>
      </w:pPr>
    </w:p>
    <w:p w:rsidR="00310F8B" w:rsidRPr="00A169CE" w:rsidRDefault="00310F8B" w:rsidP="00E25F2B">
      <w:pPr>
        <w:pStyle w:val="BodyText"/>
        <w:spacing w:before="1"/>
        <w:ind w:left="900"/>
        <w:rPr>
          <w:b/>
          <w:sz w:val="22"/>
        </w:rPr>
      </w:pPr>
      <w:r w:rsidRPr="00A169CE">
        <w:rPr>
          <w:b/>
          <w:sz w:val="22"/>
        </w:rPr>
        <w:t xml:space="preserve">Table </w:t>
      </w:r>
      <w:r w:rsidR="00A169CE" w:rsidRPr="00A169CE">
        <w:rPr>
          <w:b/>
          <w:sz w:val="22"/>
        </w:rPr>
        <w:t>5.3</w:t>
      </w:r>
      <w:r w:rsidRPr="00A169CE">
        <w:rPr>
          <w:b/>
          <w:sz w:val="22"/>
        </w:rPr>
        <w:t xml:space="preserve"> </w:t>
      </w:r>
      <w:r w:rsidR="005A6DD3" w:rsidRPr="00A169CE">
        <w:rPr>
          <w:b/>
          <w:sz w:val="22"/>
        </w:rPr>
        <w:t>Current success rates and proposed goals for Pierce College’s d</w:t>
      </w:r>
      <w:r w:rsidRPr="00A169CE">
        <w:rPr>
          <w:b/>
          <w:sz w:val="22"/>
        </w:rPr>
        <w:t>isproportionately impacted students in the area of retention</w:t>
      </w:r>
      <w:r w:rsidR="005A6DD3" w:rsidRPr="00A169CE">
        <w:rPr>
          <w:b/>
          <w:sz w:val="22"/>
        </w:rPr>
        <w:t xml:space="preserve"> </w:t>
      </w:r>
    </w:p>
    <w:tbl>
      <w:tblPr>
        <w:tblStyle w:val="TableGrid"/>
        <w:tblW w:w="0" w:type="auto"/>
        <w:tblInd w:w="909" w:type="dxa"/>
        <w:tblLayout w:type="fixed"/>
        <w:tblLook w:val="01E0" w:firstRow="1" w:lastRow="1" w:firstColumn="1" w:lastColumn="1" w:noHBand="0" w:noVBand="0"/>
        <w:tblCaption w:val="Current success rates and proposed goals for Pierce College’s disproportionately impacted students in the area of retention "/>
        <w:tblDescription w:val="Current success rates and proposed goals for Pierce College’s disproportionately impacted students in the area of retention "/>
      </w:tblPr>
      <w:tblGrid>
        <w:gridCol w:w="2944"/>
        <w:gridCol w:w="1710"/>
        <w:gridCol w:w="1710"/>
        <w:gridCol w:w="1710"/>
        <w:gridCol w:w="1800"/>
      </w:tblGrid>
      <w:tr w:rsidR="006A5A2D" w:rsidRPr="00E1143A" w:rsidTr="00A72BF6">
        <w:trPr>
          <w:trHeight w:val="299"/>
        </w:trPr>
        <w:tc>
          <w:tcPr>
            <w:tcW w:w="2944" w:type="dxa"/>
          </w:tcPr>
          <w:p w:rsidR="006A5A2D" w:rsidRPr="00E1143A" w:rsidRDefault="006A5A2D" w:rsidP="0005578B">
            <w:pPr>
              <w:spacing w:before="11"/>
              <w:ind w:right="141"/>
              <w:jc w:val="center"/>
              <w:rPr>
                <w:b/>
              </w:rPr>
            </w:pPr>
            <w:bookmarkStart w:id="8" w:name="_Hlk7791220"/>
            <w:r>
              <w:rPr>
                <w:b/>
              </w:rPr>
              <w:t>Disproportionately Impacted</w:t>
            </w:r>
            <w:r w:rsidRPr="00E1143A">
              <w:rPr>
                <w:b/>
              </w:rPr>
              <w:t xml:space="preserve"> Student Groups</w:t>
            </w:r>
          </w:p>
        </w:tc>
        <w:tc>
          <w:tcPr>
            <w:tcW w:w="1710" w:type="dxa"/>
          </w:tcPr>
          <w:p w:rsidR="006A5A2D" w:rsidRDefault="006A5A2D" w:rsidP="00C02689">
            <w:pPr>
              <w:spacing w:before="11"/>
              <w:ind w:left="153" w:right="141"/>
              <w:jc w:val="center"/>
              <w:rPr>
                <w:b/>
              </w:rPr>
            </w:pPr>
            <w:r>
              <w:rPr>
                <w:b/>
              </w:rPr>
              <w:t>Cohort Count</w:t>
            </w:r>
          </w:p>
        </w:tc>
        <w:tc>
          <w:tcPr>
            <w:tcW w:w="1710" w:type="dxa"/>
          </w:tcPr>
          <w:p w:rsidR="006A5A2D" w:rsidRDefault="000D6D34" w:rsidP="00C02689">
            <w:pPr>
              <w:spacing w:before="11"/>
              <w:ind w:left="153" w:right="141"/>
              <w:jc w:val="center"/>
              <w:rPr>
                <w:b/>
              </w:rPr>
            </w:pPr>
            <w:r>
              <w:rPr>
                <w:b/>
              </w:rPr>
              <w:t xml:space="preserve">Current </w:t>
            </w:r>
            <w:r w:rsidR="006A5A2D">
              <w:rPr>
                <w:b/>
              </w:rPr>
              <w:t>Success Count</w:t>
            </w:r>
          </w:p>
        </w:tc>
        <w:tc>
          <w:tcPr>
            <w:tcW w:w="1710" w:type="dxa"/>
          </w:tcPr>
          <w:p w:rsidR="006A5A2D" w:rsidRDefault="006A5A2D" w:rsidP="003813CF">
            <w:pPr>
              <w:spacing w:before="11"/>
              <w:ind w:left="153" w:right="141"/>
              <w:jc w:val="center"/>
              <w:rPr>
                <w:b/>
              </w:rPr>
            </w:pPr>
            <w:r>
              <w:rPr>
                <w:b/>
              </w:rPr>
              <w:t>Current Success Rate</w:t>
            </w:r>
          </w:p>
        </w:tc>
        <w:tc>
          <w:tcPr>
            <w:tcW w:w="1800" w:type="dxa"/>
          </w:tcPr>
          <w:p w:rsidR="006A5A2D" w:rsidRDefault="006A5A2D" w:rsidP="00C02689">
            <w:pPr>
              <w:spacing w:before="11"/>
              <w:ind w:left="153" w:right="141"/>
              <w:jc w:val="center"/>
              <w:rPr>
                <w:b/>
              </w:rPr>
            </w:pPr>
            <w:r>
              <w:rPr>
                <w:b/>
              </w:rPr>
              <w:t>Goal</w:t>
            </w:r>
          </w:p>
        </w:tc>
      </w:tr>
      <w:tr w:rsidR="006A5A2D" w:rsidRPr="00E1143A" w:rsidTr="00A72BF6">
        <w:trPr>
          <w:trHeight w:val="299"/>
        </w:trPr>
        <w:tc>
          <w:tcPr>
            <w:tcW w:w="2944" w:type="dxa"/>
          </w:tcPr>
          <w:p w:rsidR="006A5A2D" w:rsidRPr="00E1143A" w:rsidRDefault="003813CF" w:rsidP="00027A51">
            <w:pPr>
              <w:spacing w:before="13" w:line="266" w:lineRule="exact"/>
              <w:ind w:left="60" w:right="137"/>
            </w:pPr>
            <w:r>
              <w:t>A</w:t>
            </w:r>
            <w:r w:rsidR="006A5A2D">
              <w:t>merican Indian or Alaska Native students</w:t>
            </w:r>
          </w:p>
        </w:tc>
        <w:tc>
          <w:tcPr>
            <w:tcW w:w="1710" w:type="dxa"/>
          </w:tcPr>
          <w:p w:rsidR="006A5A2D" w:rsidRDefault="003813CF" w:rsidP="00C02689">
            <w:pPr>
              <w:spacing w:before="13" w:line="266" w:lineRule="exact"/>
              <w:ind w:left="153" w:right="137"/>
              <w:jc w:val="center"/>
            </w:pPr>
            <w:r>
              <w:t>29</w:t>
            </w:r>
          </w:p>
        </w:tc>
        <w:tc>
          <w:tcPr>
            <w:tcW w:w="1710" w:type="dxa"/>
          </w:tcPr>
          <w:p w:rsidR="006A5A2D" w:rsidRDefault="003813CF" w:rsidP="00C02689">
            <w:pPr>
              <w:spacing w:before="13" w:line="266" w:lineRule="exact"/>
              <w:ind w:left="153" w:right="137"/>
              <w:jc w:val="center"/>
            </w:pPr>
            <w:r>
              <w:t>17</w:t>
            </w:r>
          </w:p>
        </w:tc>
        <w:tc>
          <w:tcPr>
            <w:tcW w:w="1710" w:type="dxa"/>
          </w:tcPr>
          <w:p w:rsidR="006A5A2D" w:rsidRDefault="003813CF" w:rsidP="003813CF">
            <w:pPr>
              <w:spacing w:before="13" w:line="266" w:lineRule="exact"/>
              <w:ind w:left="153" w:right="137"/>
              <w:jc w:val="center"/>
            </w:pPr>
            <w:r>
              <w:t>58.6</w:t>
            </w:r>
            <w:r w:rsidR="006A5A2D">
              <w:t>%</w:t>
            </w:r>
          </w:p>
        </w:tc>
        <w:tc>
          <w:tcPr>
            <w:tcW w:w="1800" w:type="dxa"/>
          </w:tcPr>
          <w:p w:rsidR="006A5A2D" w:rsidRDefault="003813CF" w:rsidP="00C02689">
            <w:pPr>
              <w:spacing w:before="13" w:line="266" w:lineRule="exact"/>
              <w:ind w:left="153" w:right="137"/>
              <w:jc w:val="center"/>
            </w:pPr>
            <w:r>
              <w:t>61%</w:t>
            </w:r>
          </w:p>
        </w:tc>
      </w:tr>
      <w:tr w:rsidR="006A5A2D" w:rsidRPr="00E1143A" w:rsidTr="00A72BF6">
        <w:trPr>
          <w:trHeight w:val="299"/>
        </w:trPr>
        <w:tc>
          <w:tcPr>
            <w:tcW w:w="2944" w:type="dxa"/>
          </w:tcPr>
          <w:p w:rsidR="006A5A2D" w:rsidRDefault="006A5A2D" w:rsidP="00027A51">
            <w:pPr>
              <w:spacing w:before="13" w:line="266" w:lineRule="exact"/>
              <w:ind w:left="153" w:right="137"/>
            </w:pPr>
            <w:r>
              <w:t>African American or Black students</w:t>
            </w:r>
          </w:p>
        </w:tc>
        <w:tc>
          <w:tcPr>
            <w:tcW w:w="1710" w:type="dxa"/>
          </w:tcPr>
          <w:p w:rsidR="006A5A2D" w:rsidRDefault="003813CF" w:rsidP="00C02689">
            <w:pPr>
              <w:spacing w:before="13" w:line="266" w:lineRule="exact"/>
              <w:ind w:left="153" w:right="137"/>
              <w:jc w:val="center"/>
            </w:pPr>
            <w:r>
              <w:t>986</w:t>
            </w:r>
          </w:p>
        </w:tc>
        <w:tc>
          <w:tcPr>
            <w:tcW w:w="1710" w:type="dxa"/>
          </w:tcPr>
          <w:p w:rsidR="006A5A2D" w:rsidRDefault="003813CF" w:rsidP="00C02689">
            <w:pPr>
              <w:spacing w:before="13" w:line="266" w:lineRule="exact"/>
              <w:ind w:left="153" w:right="137"/>
              <w:jc w:val="center"/>
            </w:pPr>
            <w:r>
              <w:t>564</w:t>
            </w:r>
          </w:p>
        </w:tc>
        <w:tc>
          <w:tcPr>
            <w:tcW w:w="1710" w:type="dxa"/>
          </w:tcPr>
          <w:p w:rsidR="006A5A2D" w:rsidRDefault="003813CF" w:rsidP="003813CF">
            <w:pPr>
              <w:spacing w:before="13" w:line="266" w:lineRule="exact"/>
              <w:ind w:left="153" w:right="137"/>
              <w:jc w:val="center"/>
            </w:pPr>
            <w:r>
              <w:t>57.2</w:t>
            </w:r>
            <w:r w:rsidR="006A5A2D">
              <w:t>%</w:t>
            </w:r>
          </w:p>
        </w:tc>
        <w:tc>
          <w:tcPr>
            <w:tcW w:w="1800" w:type="dxa"/>
          </w:tcPr>
          <w:p w:rsidR="006A5A2D" w:rsidRDefault="003813CF" w:rsidP="00C02689">
            <w:pPr>
              <w:spacing w:before="13" w:line="266" w:lineRule="exact"/>
              <w:ind w:left="153" w:right="137"/>
              <w:jc w:val="center"/>
            </w:pPr>
            <w:r>
              <w:t>64%</w:t>
            </w:r>
          </w:p>
        </w:tc>
      </w:tr>
      <w:bookmarkEnd w:id="8"/>
      <w:tr w:rsidR="006A5A2D" w:rsidRPr="00E1143A" w:rsidTr="00A72BF6">
        <w:trPr>
          <w:trHeight w:val="299"/>
        </w:trPr>
        <w:tc>
          <w:tcPr>
            <w:tcW w:w="2944" w:type="dxa"/>
          </w:tcPr>
          <w:p w:rsidR="006A5A2D" w:rsidRDefault="00DE5830" w:rsidP="00027A51">
            <w:pPr>
              <w:spacing w:before="13" w:line="266" w:lineRule="exact"/>
              <w:ind w:left="153" w:right="137"/>
            </w:pPr>
            <w:r>
              <w:t xml:space="preserve">Male </w:t>
            </w:r>
            <w:r w:rsidR="003813CF">
              <w:t>Hispanic/Latinx students</w:t>
            </w:r>
          </w:p>
        </w:tc>
        <w:tc>
          <w:tcPr>
            <w:tcW w:w="1710" w:type="dxa"/>
          </w:tcPr>
          <w:p w:rsidR="006A5A2D" w:rsidRDefault="00DE5830" w:rsidP="00C02689">
            <w:pPr>
              <w:spacing w:before="13" w:line="266" w:lineRule="exact"/>
              <w:ind w:left="153" w:right="137"/>
              <w:jc w:val="center"/>
            </w:pPr>
            <w:r>
              <w:t>3775</w:t>
            </w:r>
          </w:p>
        </w:tc>
        <w:tc>
          <w:tcPr>
            <w:tcW w:w="1710" w:type="dxa"/>
          </w:tcPr>
          <w:p w:rsidR="006A5A2D" w:rsidRDefault="00DE5830" w:rsidP="00C02689">
            <w:pPr>
              <w:spacing w:before="13" w:line="266" w:lineRule="exact"/>
              <w:ind w:left="153" w:right="137"/>
              <w:jc w:val="center"/>
            </w:pPr>
            <w:r>
              <w:t>2428</w:t>
            </w:r>
          </w:p>
        </w:tc>
        <w:tc>
          <w:tcPr>
            <w:tcW w:w="1710" w:type="dxa"/>
          </w:tcPr>
          <w:p w:rsidR="006A5A2D" w:rsidRDefault="00DE5830" w:rsidP="003813CF">
            <w:pPr>
              <w:spacing w:before="13" w:line="266" w:lineRule="exact"/>
              <w:ind w:left="153" w:right="137"/>
              <w:jc w:val="center"/>
            </w:pPr>
            <w:r>
              <w:t>64.3</w:t>
            </w:r>
            <w:r w:rsidR="006A5A2D">
              <w:t>%</w:t>
            </w:r>
          </w:p>
        </w:tc>
        <w:tc>
          <w:tcPr>
            <w:tcW w:w="1800" w:type="dxa"/>
          </w:tcPr>
          <w:p w:rsidR="006A5A2D" w:rsidRDefault="006A5A2D" w:rsidP="00C02689">
            <w:pPr>
              <w:spacing w:before="13" w:line="266" w:lineRule="exact"/>
              <w:ind w:left="153" w:right="137"/>
              <w:jc w:val="center"/>
            </w:pPr>
            <w:r>
              <w:t>36%</w:t>
            </w:r>
          </w:p>
        </w:tc>
      </w:tr>
      <w:tr w:rsidR="00711913" w:rsidRPr="00E1143A" w:rsidTr="00A72BF6">
        <w:trPr>
          <w:trHeight w:val="299"/>
        </w:trPr>
        <w:tc>
          <w:tcPr>
            <w:tcW w:w="2944" w:type="dxa"/>
          </w:tcPr>
          <w:p w:rsidR="00711913" w:rsidRDefault="00711913" w:rsidP="00C02689">
            <w:pPr>
              <w:spacing w:before="13" w:line="266" w:lineRule="exact"/>
              <w:ind w:left="153" w:right="137"/>
            </w:pPr>
            <w:r>
              <w:t>Male students who identify as disabled</w:t>
            </w:r>
          </w:p>
        </w:tc>
        <w:tc>
          <w:tcPr>
            <w:tcW w:w="1710" w:type="dxa"/>
          </w:tcPr>
          <w:p w:rsidR="00711913" w:rsidRDefault="00711913" w:rsidP="00C02689">
            <w:pPr>
              <w:spacing w:before="13" w:line="266" w:lineRule="exact"/>
              <w:ind w:left="153" w:right="137"/>
              <w:jc w:val="center"/>
            </w:pPr>
            <w:r>
              <w:t>547</w:t>
            </w:r>
          </w:p>
        </w:tc>
        <w:tc>
          <w:tcPr>
            <w:tcW w:w="1710" w:type="dxa"/>
          </w:tcPr>
          <w:p w:rsidR="00711913" w:rsidRDefault="00711913" w:rsidP="00C02689">
            <w:pPr>
              <w:spacing w:before="13" w:line="266" w:lineRule="exact"/>
              <w:ind w:left="153" w:right="137"/>
              <w:jc w:val="center"/>
            </w:pPr>
            <w:r>
              <w:t>336</w:t>
            </w:r>
          </w:p>
        </w:tc>
        <w:tc>
          <w:tcPr>
            <w:tcW w:w="1710" w:type="dxa"/>
          </w:tcPr>
          <w:p w:rsidR="00711913" w:rsidRDefault="00711913" w:rsidP="003813CF">
            <w:pPr>
              <w:spacing w:before="13" w:line="266" w:lineRule="exact"/>
              <w:ind w:left="153" w:right="137"/>
              <w:jc w:val="center"/>
            </w:pPr>
            <w:r>
              <w:t>61.4%</w:t>
            </w:r>
          </w:p>
        </w:tc>
        <w:tc>
          <w:tcPr>
            <w:tcW w:w="1800" w:type="dxa"/>
          </w:tcPr>
          <w:p w:rsidR="00711913" w:rsidRDefault="00711913" w:rsidP="00C02689">
            <w:pPr>
              <w:spacing w:before="13" w:line="266" w:lineRule="exact"/>
              <w:ind w:left="153" w:right="137"/>
              <w:jc w:val="center"/>
            </w:pPr>
            <w:r>
              <w:t>65%</w:t>
            </w:r>
          </w:p>
        </w:tc>
      </w:tr>
      <w:tr w:rsidR="006A5A2D" w:rsidRPr="00E1143A" w:rsidTr="00A72BF6">
        <w:trPr>
          <w:trHeight w:val="299"/>
        </w:trPr>
        <w:tc>
          <w:tcPr>
            <w:tcW w:w="2944" w:type="dxa"/>
          </w:tcPr>
          <w:p w:rsidR="006A5A2D" w:rsidRDefault="00711913" w:rsidP="00027A51">
            <w:pPr>
              <w:spacing w:before="13" w:line="266" w:lineRule="exact"/>
              <w:ind w:left="153" w:right="137"/>
            </w:pPr>
            <w:r>
              <w:t>S</w:t>
            </w:r>
            <w:r w:rsidR="006A5A2D">
              <w:t>tudents who identify as former foster youth</w:t>
            </w:r>
          </w:p>
        </w:tc>
        <w:tc>
          <w:tcPr>
            <w:tcW w:w="1710" w:type="dxa"/>
          </w:tcPr>
          <w:p w:rsidR="006A5A2D" w:rsidRDefault="00711913" w:rsidP="00C02689">
            <w:pPr>
              <w:spacing w:before="13" w:line="266" w:lineRule="exact"/>
              <w:ind w:left="153" w:right="137"/>
              <w:jc w:val="center"/>
            </w:pPr>
            <w:r>
              <w:t>214</w:t>
            </w:r>
          </w:p>
        </w:tc>
        <w:tc>
          <w:tcPr>
            <w:tcW w:w="1710" w:type="dxa"/>
          </w:tcPr>
          <w:p w:rsidR="006A5A2D" w:rsidRDefault="00711913" w:rsidP="00C02689">
            <w:pPr>
              <w:spacing w:before="13" w:line="266" w:lineRule="exact"/>
              <w:ind w:left="153" w:right="137"/>
              <w:jc w:val="center"/>
            </w:pPr>
            <w:r>
              <w:t>346</w:t>
            </w:r>
          </w:p>
        </w:tc>
        <w:tc>
          <w:tcPr>
            <w:tcW w:w="1710" w:type="dxa"/>
          </w:tcPr>
          <w:p w:rsidR="006A5A2D" w:rsidRDefault="00711913" w:rsidP="00711913">
            <w:pPr>
              <w:spacing w:before="13" w:line="266" w:lineRule="exact"/>
              <w:ind w:left="153" w:right="137"/>
              <w:jc w:val="center"/>
            </w:pPr>
            <w:r>
              <w:t>61.8%</w:t>
            </w:r>
          </w:p>
        </w:tc>
        <w:tc>
          <w:tcPr>
            <w:tcW w:w="1800" w:type="dxa"/>
          </w:tcPr>
          <w:p w:rsidR="006A5A2D" w:rsidRDefault="00711913" w:rsidP="00C02689">
            <w:pPr>
              <w:spacing w:before="13" w:line="266" w:lineRule="exact"/>
              <w:ind w:left="153" w:right="137"/>
              <w:jc w:val="center"/>
            </w:pPr>
            <w:r>
              <w:t>65%</w:t>
            </w:r>
          </w:p>
        </w:tc>
      </w:tr>
      <w:tr w:rsidR="006A5A2D" w:rsidRPr="00E1143A" w:rsidTr="00A72BF6">
        <w:trPr>
          <w:trHeight w:val="299"/>
        </w:trPr>
        <w:tc>
          <w:tcPr>
            <w:tcW w:w="2944" w:type="dxa"/>
          </w:tcPr>
          <w:p w:rsidR="006A5A2D" w:rsidRDefault="00DE5830" w:rsidP="00C02689">
            <w:pPr>
              <w:spacing w:before="13" w:line="266" w:lineRule="exact"/>
              <w:ind w:left="153" w:right="137"/>
            </w:pPr>
            <w:r>
              <w:t>Male s</w:t>
            </w:r>
            <w:r w:rsidR="006A5A2D">
              <w:t>tudents who identify as LGBTQ</w:t>
            </w:r>
          </w:p>
        </w:tc>
        <w:tc>
          <w:tcPr>
            <w:tcW w:w="1710" w:type="dxa"/>
          </w:tcPr>
          <w:p w:rsidR="006A5A2D" w:rsidRDefault="00DE5830" w:rsidP="00C02689">
            <w:pPr>
              <w:spacing w:before="13" w:line="266" w:lineRule="exact"/>
              <w:ind w:left="153" w:right="137"/>
              <w:jc w:val="center"/>
            </w:pPr>
            <w:r>
              <w:t>186</w:t>
            </w:r>
          </w:p>
        </w:tc>
        <w:tc>
          <w:tcPr>
            <w:tcW w:w="1710" w:type="dxa"/>
          </w:tcPr>
          <w:p w:rsidR="006A5A2D" w:rsidRDefault="00DE5830" w:rsidP="00C02689">
            <w:pPr>
              <w:spacing w:before="13" w:line="266" w:lineRule="exact"/>
              <w:ind w:left="153" w:right="137"/>
              <w:jc w:val="center"/>
            </w:pPr>
            <w:r>
              <w:t>101</w:t>
            </w:r>
          </w:p>
        </w:tc>
        <w:tc>
          <w:tcPr>
            <w:tcW w:w="1710" w:type="dxa"/>
          </w:tcPr>
          <w:p w:rsidR="006A5A2D" w:rsidRDefault="00DE5830" w:rsidP="003813CF">
            <w:pPr>
              <w:spacing w:before="13" w:line="266" w:lineRule="exact"/>
              <w:ind w:left="153" w:right="137"/>
              <w:jc w:val="center"/>
            </w:pPr>
            <w:r>
              <w:t>54.3%</w:t>
            </w:r>
          </w:p>
        </w:tc>
        <w:tc>
          <w:tcPr>
            <w:tcW w:w="1800" w:type="dxa"/>
          </w:tcPr>
          <w:p w:rsidR="006A5A2D" w:rsidRDefault="00DE5830" w:rsidP="00C02689">
            <w:pPr>
              <w:spacing w:before="13" w:line="266" w:lineRule="exact"/>
              <w:ind w:left="153" w:right="137"/>
              <w:jc w:val="center"/>
            </w:pPr>
            <w:r>
              <w:t>57%</w:t>
            </w:r>
          </w:p>
        </w:tc>
      </w:tr>
      <w:tr w:rsidR="00711913" w:rsidRPr="00E1143A" w:rsidTr="00A72BF6">
        <w:trPr>
          <w:trHeight w:val="299"/>
        </w:trPr>
        <w:tc>
          <w:tcPr>
            <w:tcW w:w="2944" w:type="dxa"/>
          </w:tcPr>
          <w:p w:rsidR="00711913" w:rsidRDefault="00711913" w:rsidP="00C02689">
            <w:pPr>
              <w:spacing w:before="13" w:line="266" w:lineRule="exact"/>
              <w:ind w:left="153" w:right="137"/>
            </w:pPr>
            <w:r>
              <w:t>Female Veteran students</w:t>
            </w:r>
          </w:p>
          <w:p w:rsidR="00027A51" w:rsidRDefault="00027A51" w:rsidP="00C02689">
            <w:pPr>
              <w:spacing w:before="13" w:line="266" w:lineRule="exact"/>
              <w:ind w:left="153" w:right="137"/>
            </w:pPr>
          </w:p>
        </w:tc>
        <w:tc>
          <w:tcPr>
            <w:tcW w:w="1710" w:type="dxa"/>
          </w:tcPr>
          <w:p w:rsidR="00711913" w:rsidRDefault="00711913" w:rsidP="00C02689">
            <w:pPr>
              <w:spacing w:before="13" w:line="266" w:lineRule="exact"/>
              <w:ind w:left="153" w:right="137"/>
              <w:jc w:val="center"/>
            </w:pPr>
            <w:r>
              <w:t>150</w:t>
            </w:r>
          </w:p>
        </w:tc>
        <w:tc>
          <w:tcPr>
            <w:tcW w:w="1710" w:type="dxa"/>
          </w:tcPr>
          <w:p w:rsidR="00711913" w:rsidRDefault="00711913" w:rsidP="00C02689">
            <w:pPr>
              <w:spacing w:before="13" w:line="266" w:lineRule="exact"/>
              <w:ind w:left="153" w:right="137"/>
              <w:jc w:val="center"/>
            </w:pPr>
            <w:r>
              <w:t>90</w:t>
            </w:r>
          </w:p>
        </w:tc>
        <w:tc>
          <w:tcPr>
            <w:tcW w:w="1710" w:type="dxa"/>
          </w:tcPr>
          <w:p w:rsidR="00711913" w:rsidRDefault="00711913" w:rsidP="003813CF">
            <w:pPr>
              <w:spacing w:before="13" w:line="266" w:lineRule="exact"/>
              <w:ind w:left="153" w:right="137"/>
              <w:jc w:val="center"/>
            </w:pPr>
            <w:r>
              <w:t>60%</w:t>
            </w:r>
          </w:p>
        </w:tc>
        <w:tc>
          <w:tcPr>
            <w:tcW w:w="1800" w:type="dxa"/>
          </w:tcPr>
          <w:p w:rsidR="00711913" w:rsidRDefault="00711913" w:rsidP="00C02689">
            <w:pPr>
              <w:spacing w:before="13" w:line="266" w:lineRule="exact"/>
              <w:ind w:left="153" w:right="137"/>
              <w:jc w:val="center"/>
            </w:pPr>
            <w:r>
              <w:t>63%</w:t>
            </w:r>
          </w:p>
        </w:tc>
      </w:tr>
    </w:tbl>
    <w:p w:rsidR="00744929" w:rsidRDefault="00744929" w:rsidP="00E25F2B">
      <w:pPr>
        <w:pStyle w:val="BodyText"/>
        <w:spacing w:before="1"/>
        <w:ind w:left="900"/>
        <w:rPr>
          <w:sz w:val="22"/>
        </w:rPr>
      </w:pPr>
    </w:p>
    <w:p w:rsidR="00721619" w:rsidRDefault="00721619" w:rsidP="00560000">
      <w:pPr>
        <w:pStyle w:val="BodyText"/>
        <w:spacing w:before="1"/>
        <w:ind w:left="900"/>
        <w:rPr>
          <w:b/>
          <w:i/>
          <w:sz w:val="22"/>
        </w:rPr>
      </w:pPr>
    </w:p>
    <w:p w:rsidR="00560000" w:rsidRPr="00560000" w:rsidRDefault="00711913" w:rsidP="00560000">
      <w:pPr>
        <w:pStyle w:val="BodyText"/>
        <w:spacing w:before="1"/>
        <w:ind w:left="900"/>
        <w:rPr>
          <w:b/>
          <w:i/>
          <w:sz w:val="22"/>
        </w:rPr>
      </w:pPr>
      <w:r w:rsidRPr="005A6DD3">
        <w:rPr>
          <w:b/>
          <w:i/>
          <w:sz w:val="22"/>
        </w:rPr>
        <w:t>METRIC 2: ACTIVITIES TO ACHIEVE GOALS</w:t>
      </w:r>
    </w:p>
    <w:p w:rsidR="00675061" w:rsidRDefault="00711913" w:rsidP="00E25F2B">
      <w:pPr>
        <w:pStyle w:val="BodyText"/>
        <w:spacing w:before="1"/>
        <w:ind w:left="900"/>
        <w:rPr>
          <w:sz w:val="22"/>
        </w:rPr>
      </w:pPr>
      <w:r>
        <w:rPr>
          <w:sz w:val="22"/>
        </w:rPr>
        <w:t xml:space="preserve">All efforts linked with this metric support students to </w:t>
      </w:r>
      <w:r w:rsidR="000D4EEF">
        <w:rPr>
          <w:sz w:val="22"/>
        </w:rPr>
        <w:t xml:space="preserve">get on a path and/or </w:t>
      </w:r>
      <w:r>
        <w:rPr>
          <w:sz w:val="22"/>
        </w:rPr>
        <w:t>stay on their path</w:t>
      </w:r>
      <w:r w:rsidR="000D4EEF">
        <w:rPr>
          <w:sz w:val="22"/>
        </w:rPr>
        <w:t xml:space="preserve">. </w:t>
      </w:r>
      <w:r w:rsidR="008306D8">
        <w:rPr>
          <w:sz w:val="22"/>
        </w:rPr>
        <w:t xml:space="preserve">Many of these supports for new/freshman students are duplicated from those listed above (New Student Programs, </w:t>
      </w:r>
      <w:r w:rsidR="00675061">
        <w:rPr>
          <w:sz w:val="22"/>
        </w:rPr>
        <w:t xml:space="preserve">College </w:t>
      </w:r>
      <w:r w:rsidR="008306D8">
        <w:rPr>
          <w:sz w:val="22"/>
        </w:rPr>
        <w:t>Promise</w:t>
      </w:r>
      <w:r w:rsidR="00675061">
        <w:rPr>
          <w:sz w:val="22"/>
        </w:rPr>
        <w:t>, etc.)</w:t>
      </w:r>
      <w:r w:rsidR="008306D8">
        <w:rPr>
          <w:sz w:val="22"/>
        </w:rPr>
        <w:t xml:space="preserve"> </w:t>
      </w:r>
    </w:p>
    <w:p w:rsidR="00560000" w:rsidRDefault="00560000" w:rsidP="00560000">
      <w:pPr>
        <w:pStyle w:val="BodyText"/>
        <w:numPr>
          <w:ilvl w:val="0"/>
          <w:numId w:val="23"/>
        </w:numPr>
        <w:spacing w:before="1"/>
        <w:rPr>
          <w:sz w:val="22"/>
        </w:rPr>
      </w:pPr>
      <w:r w:rsidRPr="0067386B">
        <w:rPr>
          <w:sz w:val="22"/>
          <w:u w:val="single"/>
        </w:rPr>
        <w:t>Specialized Counseling</w:t>
      </w:r>
      <w:r w:rsidR="00F243A6" w:rsidRPr="0067386B">
        <w:rPr>
          <w:sz w:val="22"/>
          <w:u w:val="single"/>
        </w:rPr>
        <w:t xml:space="preserve"> and Wraparound Support</w:t>
      </w:r>
      <w:r>
        <w:rPr>
          <w:sz w:val="22"/>
        </w:rPr>
        <w:t xml:space="preserve">: Umoja, Guardian Scholars, Probation, First Year </w:t>
      </w:r>
      <w:r w:rsidR="00B93BCA">
        <w:rPr>
          <w:sz w:val="22"/>
        </w:rPr>
        <w:t>Experience, Student Engagement</w:t>
      </w:r>
    </w:p>
    <w:p w:rsidR="00B74A1F" w:rsidRDefault="00675061" w:rsidP="00E25F2B">
      <w:pPr>
        <w:pStyle w:val="BodyText"/>
        <w:spacing w:before="1"/>
        <w:ind w:left="900"/>
        <w:rPr>
          <w:sz w:val="22"/>
        </w:rPr>
      </w:pPr>
      <w:r>
        <w:rPr>
          <w:sz w:val="22"/>
        </w:rPr>
        <w:t>Students are highly encouraged to meet with a counselor to complete their comprehensive education plan, mapping out their academic courses needed to achieve</w:t>
      </w:r>
      <w:r w:rsidR="00B74A1F">
        <w:rPr>
          <w:sz w:val="22"/>
        </w:rPr>
        <w:t xml:space="preserve"> their goal. Additionally, high touch support programs, such as Umoja, Guardian Scholars, and Veterans Programs, provide additional support to students participating in their programs. Text book rentals, specialized counseling and workshops and unique student engagement activities are just a few services offered for these students.</w:t>
      </w:r>
    </w:p>
    <w:p w:rsidR="00B93BCA" w:rsidRPr="0067386B" w:rsidRDefault="00B93BCA" w:rsidP="00B93BCA">
      <w:pPr>
        <w:pStyle w:val="BodyText"/>
        <w:numPr>
          <w:ilvl w:val="0"/>
          <w:numId w:val="23"/>
        </w:numPr>
        <w:spacing w:before="1"/>
        <w:rPr>
          <w:sz w:val="22"/>
          <w:u w:val="single"/>
        </w:rPr>
      </w:pPr>
      <w:r w:rsidRPr="0067386B">
        <w:rPr>
          <w:sz w:val="22"/>
          <w:u w:val="single"/>
        </w:rPr>
        <w:t>Peer Mentoring</w:t>
      </w:r>
      <w:r w:rsidR="00F243A6" w:rsidRPr="0067386B">
        <w:rPr>
          <w:sz w:val="22"/>
          <w:u w:val="single"/>
        </w:rPr>
        <w:t xml:space="preserve"> &amp; Campus Engagement</w:t>
      </w:r>
    </w:p>
    <w:p w:rsidR="00226F09" w:rsidRDefault="00B74A1F" w:rsidP="00E25F2B">
      <w:pPr>
        <w:pStyle w:val="BodyText"/>
        <w:spacing w:before="1"/>
        <w:ind w:left="900"/>
        <w:rPr>
          <w:sz w:val="22"/>
        </w:rPr>
      </w:pPr>
      <w:r>
        <w:rPr>
          <w:sz w:val="22"/>
        </w:rPr>
        <w:t xml:space="preserve">Over the past couple of years, Pierce College has expanded their Peer Mentor Program, </w:t>
      </w:r>
      <w:r w:rsidR="00226F09">
        <w:rPr>
          <w:sz w:val="22"/>
        </w:rPr>
        <w:t xml:space="preserve">to include </w:t>
      </w:r>
      <w:r w:rsidR="000D6D34">
        <w:rPr>
          <w:sz w:val="22"/>
        </w:rPr>
        <w:t>14</w:t>
      </w:r>
      <w:r w:rsidR="00226F09">
        <w:rPr>
          <w:sz w:val="22"/>
        </w:rPr>
        <w:t xml:space="preserve"> peer mentors and </w:t>
      </w:r>
      <w:r w:rsidR="000D6D34">
        <w:rPr>
          <w:sz w:val="22"/>
        </w:rPr>
        <w:t>approximately 753</w:t>
      </w:r>
      <w:r w:rsidR="00226F09">
        <w:rPr>
          <w:sz w:val="22"/>
        </w:rPr>
        <w:t xml:space="preserve"> mentees. In collaboration with our Student Engagement Center, the Peer Mentor program encourages students to become involved in their campus community. </w:t>
      </w:r>
      <w:r w:rsidR="00AC700E">
        <w:rPr>
          <w:sz w:val="22"/>
        </w:rPr>
        <w:t xml:space="preserve">Engaging students through ASO, campus employment and student-centered events allows for opportunities for them to become (and feel) like an active, valued community member.  </w:t>
      </w:r>
    </w:p>
    <w:p w:rsidR="00B93BCA" w:rsidRPr="00A9401E" w:rsidRDefault="00B93BCA" w:rsidP="00B93BCA">
      <w:pPr>
        <w:pStyle w:val="BodyText"/>
        <w:numPr>
          <w:ilvl w:val="0"/>
          <w:numId w:val="23"/>
        </w:numPr>
        <w:spacing w:before="1"/>
        <w:rPr>
          <w:sz w:val="22"/>
          <w:u w:val="single"/>
        </w:rPr>
      </w:pPr>
      <w:r w:rsidRPr="00A9401E">
        <w:rPr>
          <w:sz w:val="22"/>
          <w:u w:val="single"/>
        </w:rPr>
        <w:t>College Promise</w:t>
      </w:r>
      <w:r w:rsidR="00AC700E">
        <w:rPr>
          <w:sz w:val="22"/>
          <w:u w:val="single"/>
        </w:rPr>
        <w:t xml:space="preserve"> </w:t>
      </w:r>
    </w:p>
    <w:p w:rsidR="00711913" w:rsidRDefault="00226F09" w:rsidP="00E25F2B">
      <w:pPr>
        <w:pStyle w:val="BodyText"/>
        <w:spacing w:before="1"/>
        <w:ind w:left="900"/>
        <w:rPr>
          <w:sz w:val="22"/>
        </w:rPr>
      </w:pPr>
      <w:r>
        <w:rPr>
          <w:sz w:val="22"/>
        </w:rPr>
        <w:t xml:space="preserve">In the next three years, SEA resources will be are utilized to continue to enhance our abilities to monitor student progress closely to allow more assertive intervention, empower students with the tools to monitor their own progress, create strong linkages to community and social resources and provide effective career services. </w:t>
      </w:r>
    </w:p>
    <w:p w:rsidR="00AC700E" w:rsidRPr="00AC700E" w:rsidRDefault="00AC700E" w:rsidP="00F243A6">
      <w:pPr>
        <w:pStyle w:val="BodyText"/>
        <w:numPr>
          <w:ilvl w:val="0"/>
          <w:numId w:val="23"/>
        </w:numPr>
        <w:spacing w:before="1"/>
        <w:rPr>
          <w:sz w:val="22"/>
          <w:u w:val="single"/>
        </w:rPr>
      </w:pPr>
      <w:r>
        <w:rPr>
          <w:sz w:val="22"/>
          <w:u w:val="single"/>
        </w:rPr>
        <w:t xml:space="preserve">Career Center </w:t>
      </w:r>
    </w:p>
    <w:p w:rsidR="00AC700E" w:rsidRPr="00AC700E" w:rsidRDefault="00AC700E" w:rsidP="00AC700E">
      <w:pPr>
        <w:pStyle w:val="BodyText"/>
        <w:spacing w:before="1"/>
        <w:ind w:left="900"/>
        <w:rPr>
          <w:sz w:val="22"/>
        </w:rPr>
      </w:pPr>
      <w:r w:rsidRPr="00AC700E">
        <w:rPr>
          <w:sz w:val="22"/>
        </w:rPr>
        <w:t>The college’s Career</w:t>
      </w:r>
      <w:r>
        <w:rPr>
          <w:sz w:val="22"/>
        </w:rPr>
        <w:t xml:space="preserve"> Center focuses on helping </w:t>
      </w:r>
      <w:r w:rsidRPr="00AC700E">
        <w:rPr>
          <w:sz w:val="22"/>
        </w:rPr>
        <w:t>students understand the career decision making process, increase self-awareness, explore career options, and gain knowledge about the world of work. Visit the career center to access tools and resources to help with major selection, clarify educational goals, explore career options, and build job search skills and techniques</w:t>
      </w:r>
      <w:r>
        <w:rPr>
          <w:sz w:val="22"/>
        </w:rPr>
        <w:t>. In addition to holing various career prep workshops throughout the year, it hosts an online job search board: Brahma Jobs, as well as an annual Career and Job Fair.</w:t>
      </w:r>
    </w:p>
    <w:p w:rsidR="00F243A6" w:rsidRPr="00A9401E" w:rsidRDefault="00F243A6" w:rsidP="00F243A6">
      <w:pPr>
        <w:pStyle w:val="BodyText"/>
        <w:numPr>
          <w:ilvl w:val="0"/>
          <w:numId w:val="23"/>
        </w:numPr>
        <w:spacing w:before="1"/>
        <w:rPr>
          <w:sz w:val="22"/>
          <w:u w:val="single"/>
        </w:rPr>
      </w:pPr>
      <w:r w:rsidRPr="00A9401E">
        <w:rPr>
          <w:sz w:val="22"/>
          <w:u w:val="single"/>
        </w:rPr>
        <w:t>Professional Development</w:t>
      </w:r>
      <w:r w:rsidR="005A5D47" w:rsidRPr="00A9401E">
        <w:rPr>
          <w:sz w:val="22"/>
          <w:u w:val="single"/>
        </w:rPr>
        <w:t xml:space="preserve"> </w:t>
      </w:r>
    </w:p>
    <w:p w:rsidR="00F96BD6" w:rsidRDefault="00A65C62" w:rsidP="001315FB">
      <w:pPr>
        <w:pStyle w:val="BodyText"/>
        <w:spacing w:before="1"/>
        <w:ind w:left="900"/>
        <w:rPr>
          <w:sz w:val="22"/>
        </w:rPr>
      </w:pPr>
      <w:r>
        <w:rPr>
          <w:sz w:val="22"/>
        </w:rPr>
        <w:t xml:space="preserve">Finally, professional development and awareness will be essential in providing support to our disproportionately impacted student populations. </w:t>
      </w:r>
      <w:r w:rsidR="00657396">
        <w:rPr>
          <w:sz w:val="22"/>
        </w:rPr>
        <w:t xml:space="preserve">Through our various campus wide events, such as Student Success Conference and Leadership Retreat, </w:t>
      </w:r>
      <w:r w:rsidR="000476BB">
        <w:rPr>
          <w:sz w:val="22"/>
        </w:rPr>
        <w:t xml:space="preserve">SEA resources will be used to expand the methods in which resources are promoted to our students. (syllabus, use of canvas, website, technology, resource brochures, </w:t>
      </w:r>
      <w:proofErr w:type="spellStart"/>
      <w:r w:rsidR="000476BB">
        <w:rPr>
          <w:sz w:val="22"/>
        </w:rPr>
        <w:t>etc</w:t>
      </w:r>
      <w:proofErr w:type="spellEnd"/>
      <w:r w:rsidR="000476BB">
        <w:rPr>
          <w:sz w:val="22"/>
        </w:rPr>
        <w:t>)</w:t>
      </w:r>
      <w:r w:rsidR="001A1D3C">
        <w:rPr>
          <w:sz w:val="22"/>
        </w:rPr>
        <w:t>.</w:t>
      </w:r>
      <w:r w:rsidR="003D744E">
        <w:rPr>
          <w:sz w:val="22"/>
        </w:rPr>
        <w:t xml:space="preserve"> </w:t>
      </w:r>
      <w:r w:rsidR="00F32427">
        <w:rPr>
          <w:sz w:val="22"/>
        </w:rPr>
        <w:t>Professional learning opportunities will focus on improving the campus’ capacity to serve a diverse student population, with focus on our disproportionately impacted students.</w:t>
      </w:r>
    </w:p>
    <w:p w:rsidR="001315FB" w:rsidRDefault="001315FB">
      <w:pPr>
        <w:rPr>
          <w:szCs w:val="24"/>
        </w:rPr>
      </w:pPr>
      <w:r>
        <w:br w:type="page"/>
      </w:r>
    </w:p>
    <w:p w:rsidR="001A1D3C" w:rsidRPr="001A1D3C" w:rsidRDefault="001A1D3C" w:rsidP="00E25F2B">
      <w:pPr>
        <w:pStyle w:val="BodyText"/>
        <w:spacing w:before="1"/>
        <w:ind w:left="900"/>
        <w:rPr>
          <w:b/>
          <w:i/>
          <w:sz w:val="22"/>
        </w:rPr>
      </w:pPr>
      <w:r w:rsidRPr="001A1D3C">
        <w:rPr>
          <w:b/>
          <w:i/>
          <w:sz w:val="22"/>
        </w:rPr>
        <w:t>METRIC 2: RESOURCES</w:t>
      </w:r>
    </w:p>
    <w:p w:rsidR="00027A51" w:rsidRDefault="00027A51" w:rsidP="00E25F2B">
      <w:pPr>
        <w:pStyle w:val="BodyText"/>
        <w:spacing w:before="1"/>
        <w:ind w:left="900"/>
        <w:rPr>
          <w:b/>
          <w:sz w:val="20"/>
        </w:rPr>
      </w:pPr>
    </w:p>
    <w:p w:rsidR="00965284" w:rsidRPr="00A169CE" w:rsidRDefault="00027A51" w:rsidP="00E25F2B">
      <w:pPr>
        <w:pStyle w:val="BodyText"/>
        <w:spacing w:before="1"/>
        <w:ind w:left="900"/>
        <w:rPr>
          <w:rFonts w:asciiTheme="minorHAnsi" w:eastAsiaTheme="minorHAnsi" w:hAnsiTheme="minorHAnsi" w:cstheme="minorBidi"/>
          <w:sz w:val="22"/>
          <w:szCs w:val="22"/>
          <w:lang w:bidi="ar-SA"/>
        </w:rPr>
      </w:pPr>
      <w:r w:rsidRPr="00A169CE">
        <w:rPr>
          <w:b/>
          <w:sz w:val="22"/>
          <w:szCs w:val="22"/>
        </w:rPr>
        <w:t>Table</w:t>
      </w:r>
      <w:r w:rsidR="00A169CE" w:rsidRPr="00A169CE">
        <w:rPr>
          <w:b/>
          <w:sz w:val="22"/>
          <w:szCs w:val="22"/>
        </w:rPr>
        <w:t xml:space="preserve"> 5.4</w:t>
      </w:r>
      <w:r w:rsidRPr="00A169CE">
        <w:rPr>
          <w:b/>
          <w:sz w:val="22"/>
          <w:szCs w:val="22"/>
        </w:rPr>
        <w:t xml:space="preserve">: Estimated SEA funding allocated to activities related to </w:t>
      </w:r>
      <w:r w:rsidR="00E213A1" w:rsidRPr="00A169CE">
        <w:rPr>
          <w:b/>
          <w:sz w:val="22"/>
          <w:szCs w:val="22"/>
        </w:rPr>
        <w:t>retention</w:t>
      </w:r>
      <w:r w:rsidRPr="00A169CE">
        <w:rPr>
          <w:sz w:val="22"/>
          <w:szCs w:val="22"/>
        </w:rPr>
        <w:t xml:space="preserve"> </w:t>
      </w:r>
      <w:r w:rsidR="001A1D3C" w:rsidRPr="00A169CE">
        <w:rPr>
          <w:sz w:val="22"/>
          <w:szCs w:val="22"/>
        </w:rPr>
        <w:fldChar w:fldCharType="begin"/>
      </w:r>
      <w:r w:rsidR="001A1D3C" w:rsidRPr="00A169CE">
        <w:rPr>
          <w:sz w:val="22"/>
          <w:szCs w:val="22"/>
        </w:rPr>
        <w:instrText xml:space="preserve"> LINK Excel.Sheet.12 "Book1" "Sheet1!R10C1:R20C3" \a \f 4 \h </w:instrText>
      </w:r>
      <w:r w:rsidR="00A169CE">
        <w:rPr>
          <w:sz w:val="22"/>
          <w:szCs w:val="22"/>
        </w:rPr>
        <w:instrText xml:space="preserve"> \* MERGEFORMAT </w:instrText>
      </w:r>
      <w:r w:rsidR="001A1D3C" w:rsidRPr="00A169CE">
        <w:rPr>
          <w:sz w:val="22"/>
          <w:szCs w:val="22"/>
        </w:rPr>
        <w:fldChar w:fldCharType="separate"/>
      </w:r>
    </w:p>
    <w:tbl>
      <w:tblPr>
        <w:tblStyle w:val="TableGrid"/>
        <w:tblW w:w="8200" w:type="dxa"/>
        <w:tblInd w:w="880" w:type="dxa"/>
        <w:tblLook w:val="04A0" w:firstRow="1" w:lastRow="0" w:firstColumn="1" w:lastColumn="0" w:noHBand="0" w:noVBand="1"/>
        <w:tblCaption w:val="Estimated SEA funding allocated to activities related to retention "/>
        <w:tblDescription w:val="Estimated SEA funding allocated to activities related to retention &#10;Success Metric  Activity Estimated 2019-2020 Expenditures&#10;Retention Specialized Counseling (students engagement, probation $795,848&#10; New Student Programs  $156,000&#10; Guardian Scholars $5,000&#10; Umoja $106,300&#10; Veterans Services  $152,000&#10; College Promise $10,000&#10; Professional Development  $25,000&#10;Estimated SEA funding allocated to activities related to retention  &#10;&#10;"/>
      </w:tblPr>
      <w:tblGrid>
        <w:gridCol w:w="2700"/>
        <w:gridCol w:w="2800"/>
        <w:gridCol w:w="2700"/>
      </w:tblGrid>
      <w:tr w:rsidR="00965284" w:rsidRPr="00A169CE" w:rsidTr="008D6536">
        <w:trPr>
          <w:divId w:val="42410299"/>
          <w:trHeight w:val="615"/>
        </w:trPr>
        <w:tc>
          <w:tcPr>
            <w:tcW w:w="2700" w:type="dxa"/>
            <w:hideMark/>
          </w:tcPr>
          <w:p w:rsidR="00965284" w:rsidRPr="00A169CE" w:rsidRDefault="00965284" w:rsidP="00965284">
            <w:pPr>
              <w:jc w:val="center"/>
              <w:rPr>
                <w:rFonts w:eastAsia="Times New Roman"/>
                <w:b/>
                <w:bCs/>
                <w:color w:val="000000"/>
                <w:lang w:bidi="ar-SA"/>
              </w:rPr>
            </w:pPr>
            <w:r w:rsidRPr="00A169CE">
              <w:rPr>
                <w:rFonts w:eastAsia="Times New Roman"/>
                <w:b/>
                <w:bCs/>
                <w:color w:val="000000"/>
                <w:lang w:bidi="ar-SA"/>
              </w:rPr>
              <w:t xml:space="preserve">Success Metric </w:t>
            </w:r>
          </w:p>
        </w:tc>
        <w:tc>
          <w:tcPr>
            <w:tcW w:w="2800" w:type="dxa"/>
            <w:hideMark/>
          </w:tcPr>
          <w:p w:rsidR="00965284" w:rsidRPr="00A169CE" w:rsidRDefault="00965284" w:rsidP="00965284">
            <w:pPr>
              <w:widowControl/>
              <w:autoSpaceDE/>
              <w:autoSpaceDN/>
              <w:jc w:val="center"/>
              <w:rPr>
                <w:rFonts w:eastAsia="Times New Roman"/>
                <w:b/>
                <w:bCs/>
                <w:color w:val="000000"/>
                <w:lang w:bidi="ar-SA"/>
              </w:rPr>
            </w:pPr>
            <w:r w:rsidRPr="00A169CE">
              <w:rPr>
                <w:rFonts w:eastAsia="Times New Roman"/>
                <w:b/>
                <w:bCs/>
                <w:color w:val="000000"/>
                <w:lang w:bidi="ar-SA"/>
              </w:rPr>
              <w:t>Activity</w:t>
            </w:r>
          </w:p>
        </w:tc>
        <w:tc>
          <w:tcPr>
            <w:tcW w:w="2700" w:type="dxa"/>
            <w:hideMark/>
          </w:tcPr>
          <w:p w:rsidR="00965284" w:rsidRPr="00A169CE" w:rsidRDefault="00965284" w:rsidP="00965284">
            <w:pPr>
              <w:widowControl/>
              <w:autoSpaceDE/>
              <w:autoSpaceDN/>
              <w:jc w:val="center"/>
              <w:rPr>
                <w:rFonts w:eastAsia="Times New Roman"/>
                <w:b/>
                <w:bCs/>
                <w:color w:val="000000"/>
                <w:lang w:bidi="ar-SA"/>
              </w:rPr>
            </w:pPr>
            <w:r w:rsidRPr="00A169CE">
              <w:rPr>
                <w:rFonts w:eastAsia="Times New Roman"/>
                <w:b/>
                <w:bCs/>
                <w:color w:val="000000"/>
                <w:lang w:bidi="ar-SA"/>
              </w:rPr>
              <w:t>Estimated 2019-2020 Expenditures</w:t>
            </w:r>
          </w:p>
        </w:tc>
      </w:tr>
      <w:tr w:rsidR="001E5159" w:rsidRPr="00A169CE" w:rsidTr="008D6536">
        <w:trPr>
          <w:divId w:val="42410299"/>
          <w:trHeight w:val="900"/>
        </w:trPr>
        <w:tc>
          <w:tcPr>
            <w:tcW w:w="2700" w:type="dxa"/>
            <w:hideMark/>
          </w:tcPr>
          <w:p w:rsidR="001E5159" w:rsidRPr="00A169CE" w:rsidRDefault="001E5159" w:rsidP="00965284">
            <w:pPr>
              <w:widowControl/>
              <w:autoSpaceDE/>
              <w:autoSpaceDN/>
              <w:rPr>
                <w:rFonts w:eastAsia="Times New Roman"/>
                <w:color w:val="000000"/>
                <w:lang w:bidi="ar-SA"/>
              </w:rPr>
            </w:pPr>
            <w:r w:rsidRPr="00A169CE">
              <w:rPr>
                <w:rFonts w:eastAsia="Times New Roman"/>
                <w:color w:val="000000"/>
                <w:lang w:bidi="ar-SA"/>
              </w:rPr>
              <w:t>Retention</w:t>
            </w:r>
          </w:p>
        </w:tc>
        <w:tc>
          <w:tcPr>
            <w:tcW w:w="2800" w:type="dxa"/>
            <w:hideMark/>
          </w:tcPr>
          <w:p w:rsidR="001E5159" w:rsidRPr="00A169CE" w:rsidRDefault="001E5159" w:rsidP="00965284">
            <w:pPr>
              <w:widowControl/>
              <w:autoSpaceDE/>
              <w:autoSpaceDN/>
              <w:rPr>
                <w:rFonts w:eastAsia="Times New Roman"/>
                <w:color w:val="000000"/>
                <w:lang w:bidi="ar-SA"/>
              </w:rPr>
            </w:pPr>
            <w:r w:rsidRPr="00A169CE">
              <w:rPr>
                <w:rFonts w:eastAsia="Times New Roman"/>
                <w:color w:val="000000"/>
                <w:lang w:bidi="ar-SA"/>
              </w:rPr>
              <w:t>Specialized Counseling (</w:t>
            </w:r>
            <w:proofErr w:type="gramStart"/>
            <w:r w:rsidRPr="00A169CE">
              <w:rPr>
                <w:rFonts w:eastAsia="Times New Roman"/>
                <w:color w:val="000000"/>
                <w:lang w:bidi="ar-SA"/>
              </w:rPr>
              <w:t>students</w:t>
            </w:r>
            <w:proofErr w:type="gramEnd"/>
            <w:r w:rsidRPr="00A169CE">
              <w:rPr>
                <w:rFonts w:eastAsia="Times New Roman"/>
                <w:color w:val="000000"/>
                <w:lang w:bidi="ar-SA"/>
              </w:rPr>
              <w:t xml:space="preserve"> engagement, probation</w:t>
            </w:r>
          </w:p>
        </w:tc>
        <w:tc>
          <w:tcPr>
            <w:tcW w:w="2700" w:type="dxa"/>
            <w:hideMark/>
          </w:tcPr>
          <w:p w:rsidR="001E5159" w:rsidRPr="00A169CE" w:rsidRDefault="001E5159" w:rsidP="00965284">
            <w:pPr>
              <w:widowControl/>
              <w:autoSpaceDE/>
              <w:autoSpaceDN/>
              <w:jc w:val="right"/>
              <w:rPr>
                <w:rFonts w:eastAsia="Times New Roman"/>
                <w:color w:val="000000"/>
                <w:lang w:bidi="ar-SA"/>
              </w:rPr>
            </w:pPr>
            <w:r w:rsidRPr="00A169CE">
              <w:rPr>
                <w:rFonts w:eastAsia="Times New Roman"/>
                <w:color w:val="000000"/>
                <w:lang w:bidi="ar-SA"/>
              </w:rPr>
              <w:t>$795,848</w:t>
            </w:r>
          </w:p>
        </w:tc>
      </w:tr>
      <w:tr w:rsidR="001E5159" w:rsidRPr="00A169CE" w:rsidTr="008D6536">
        <w:trPr>
          <w:divId w:val="42410299"/>
          <w:trHeight w:val="300"/>
        </w:trPr>
        <w:tc>
          <w:tcPr>
            <w:tcW w:w="2700" w:type="dxa"/>
            <w:hideMark/>
          </w:tcPr>
          <w:p w:rsidR="001E5159" w:rsidRPr="00A169CE" w:rsidRDefault="001E5159" w:rsidP="00965284">
            <w:pPr>
              <w:widowControl/>
              <w:autoSpaceDE/>
              <w:autoSpaceDN/>
              <w:rPr>
                <w:rFonts w:eastAsia="Times New Roman"/>
                <w:color w:val="000000"/>
                <w:lang w:bidi="ar-SA"/>
              </w:rPr>
            </w:pPr>
          </w:p>
        </w:tc>
        <w:tc>
          <w:tcPr>
            <w:tcW w:w="2800" w:type="dxa"/>
            <w:hideMark/>
          </w:tcPr>
          <w:p w:rsidR="001E5159" w:rsidRPr="00A169CE" w:rsidRDefault="001E5159" w:rsidP="00965284">
            <w:pPr>
              <w:widowControl/>
              <w:autoSpaceDE/>
              <w:autoSpaceDN/>
              <w:rPr>
                <w:rFonts w:eastAsia="Times New Roman"/>
                <w:color w:val="000000"/>
                <w:lang w:bidi="ar-SA"/>
              </w:rPr>
            </w:pPr>
            <w:r w:rsidRPr="00A169CE">
              <w:rPr>
                <w:rFonts w:eastAsia="Times New Roman"/>
                <w:color w:val="000000"/>
                <w:lang w:bidi="ar-SA"/>
              </w:rPr>
              <w:t xml:space="preserve">New Student Programs </w:t>
            </w:r>
          </w:p>
        </w:tc>
        <w:tc>
          <w:tcPr>
            <w:tcW w:w="2700" w:type="dxa"/>
            <w:hideMark/>
          </w:tcPr>
          <w:p w:rsidR="001E5159" w:rsidRPr="00A169CE" w:rsidRDefault="001E5159" w:rsidP="00965284">
            <w:pPr>
              <w:widowControl/>
              <w:autoSpaceDE/>
              <w:autoSpaceDN/>
              <w:jc w:val="right"/>
              <w:rPr>
                <w:rFonts w:eastAsia="Times New Roman"/>
                <w:color w:val="000000"/>
                <w:lang w:bidi="ar-SA"/>
              </w:rPr>
            </w:pPr>
            <w:r w:rsidRPr="00A169CE">
              <w:rPr>
                <w:rFonts w:eastAsia="Times New Roman"/>
                <w:color w:val="000000"/>
                <w:lang w:bidi="ar-SA"/>
              </w:rPr>
              <w:t>$156,000</w:t>
            </w:r>
          </w:p>
        </w:tc>
      </w:tr>
      <w:tr w:rsidR="001E5159" w:rsidRPr="00A169CE" w:rsidTr="008D6536">
        <w:trPr>
          <w:divId w:val="42410299"/>
          <w:trHeight w:val="300"/>
        </w:trPr>
        <w:tc>
          <w:tcPr>
            <w:tcW w:w="2700" w:type="dxa"/>
            <w:hideMark/>
          </w:tcPr>
          <w:p w:rsidR="001E5159" w:rsidRPr="00A169CE" w:rsidRDefault="001E5159" w:rsidP="00965284">
            <w:pPr>
              <w:widowControl/>
              <w:autoSpaceDE/>
              <w:autoSpaceDN/>
              <w:rPr>
                <w:rFonts w:eastAsia="Times New Roman"/>
                <w:color w:val="000000"/>
                <w:lang w:bidi="ar-SA"/>
              </w:rPr>
            </w:pPr>
          </w:p>
        </w:tc>
        <w:tc>
          <w:tcPr>
            <w:tcW w:w="2800" w:type="dxa"/>
            <w:hideMark/>
          </w:tcPr>
          <w:p w:rsidR="001E5159" w:rsidRPr="00A169CE" w:rsidRDefault="001E5159" w:rsidP="00965284">
            <w:pPr>
              <w:widowControl/>
              <w:autoSpaceDE/>
              <w:autoSpaceDN/>
              <w:rPr>
                <w:rFonts w:eastAsia="Times New Roman"/>
                <w:color w:val="000000"/>
                <w:lang w:bidi="ar-SA"/>
              </w:rPr>
            </w:pPr>
            <w:r w:rsidRPr="00A169CE">
              <w:rPr>
                <w:rFonts w:eastAsia="Times New Roman"/>
                <w:color w:val="000000"/>
                <w:lang w:bidi="ar-SA"/>
              </w:rPr>
              <w:t>Guardian Scholars</w:t>
            </w:r>
          </w:p>
        </w:tc>
        <w:tc>
          <w:tcPr>
            <w:tcW w:w="2700" w:type="dxa"/>
            <w:hideMark/>
          </w:tcPr>
          <w:p w:rsidR="001E5159" w:rsidRPr="00A169CE" w:rsidRDefault="001E5159" w:rsidP="00965284">
            <w:pPr>
              <w:widowControl/>
              <w:autoSpaceDE/>
              <w:autoSpaceDN/>
              <w:jc w:val="right"/>
              <w:rPr>
                <w:rFonts w:eastAsia="Times New Roman"/>
                <w:color w:val="000000"/>
                <w:lang w:bidi="ar-SA"/>
              </w:rPr>
            </w:pPr>
            <w:r w:rsidRPr="00A169CE">
              <w:rPr>
                <w:rFonts w:eastAsia="Times New Roman"/>
                <w:color w:val="000000"/>
                <w:lang w:bidi="ar-SA"/>
              </w:rPr>
              <w:t>$5,000</w:t>
            </w:r>
          </w:p>
        </w:tc>
      </w:tr>
      <w:tr w:rsidR="001E5159" w:rsidRPr="00A169CE" w:rsidTr="008D6536">
        <w:trPr>
          <w:divId w:val="42410299"/>
          <w:trHeight w:val="300"/>
        </w:trPr>
        <w:tc>
          <w:tcPr>
            <w:tcW w:w="2700" w:type="dxa"/>
            <w:hideMark/>
          </w:tcPr>
          <w:p w:rsidR="001E5159" w:rsidRPr="00A169CE" w:rsidRDefault="001E5159" w:rsidP="00965284">
            <w:pPr>
              <w:widowControl/>
              <w:autoSpaceDE/>
              <w:autoSpaceDN/>
              <w:rPr>
                <w:rFonts w:eastAsia="Times New Roman"/>
                <w:color w:val="000000"/>
                <w:lang w:bidi="ar-SA"/>
              </w:rPr>
            </w:pPr>
          </w:p>
        </w:tc>
        <w:tc>
          <w:tcPr>
            <w:tcW w:w="2800" w:type="dxa"/>
            <w:hideMark/>
          </w:tcPr>
          <w:p w:rsidR="001E5159" w:rsidRPr="00A169CE" w:rsidRDefault="001E5159" w:rsidP="00965284">
            <w:pPr>
              <w:widowControl/>
              <w:autoSpaceDE/>
              <w:autoSpaceDN/>
              <w:rPr>
                <w:rFonts w:eastAsia="Times New Roman"/>
                <w:color w:val="000000"/>
                <w:lang w:bidi="ar-SA"/>
              </w:rPr>
            </w:pPr>
            <w:r w:rsidRPr="00A169CE">
              <w:rPr>
                <w:rFonts w:eastAsia="Times New Roman"/>
                <w:color w:val="000000"/>
                <w:lang w:bidi="ar-SA"/>
              </w:rPr>
              <w:t>Umoja</w:t>
            </w:r>
          </w:p>
        </w:tc>
        <w:tc>
          <w:tcPr>
            <w:tcW w:w="2700" w:type="dxa"/>
            <w:hideMark/>
          </w:tcPr>
          <w:p w:rsidR="001E5159" w:rsidRPr="00A169CE" w:rsidRDefault="001E5159" w:rsidP="00965284">
            <w:pPr>
              <w:widowControl/>
              <w:autoSpaceDE/>
              <w:autoSpaceDN/>
              <w:jc w:val="right"/>
              <w:rPr>
                <w:rFonts w:eastAsia="Times New Roman"/>
                <w:color w:val="000000"/>
                <w:lang w:bidi="ar-SA"/>
              </w:rPr>
            </w:pPr>
            <w:r w:rsidRPr="00A169CE">
              <w:rPr>
                <w:rFonts w:eastAsia="Times New Roman"/>
                <w:color w:val="000000"/>
                <w:lang w:bidi="ar-SA"/>
              </w:rPr>
              <w:t>$106,300</w:t>
            </w:r>
          </w:p>
        </w:tc>
      </w:tr>
      <w:tr w:rsidR="001E5159" w:rsidRPr="00A169CE" w:rsidTr="008D6536">
        <w:trPr>
          <w:divId w:val="42410299"/>
          <w:trHeight w:val="300"/>
        </w:trPr>
        <w:tc>
          <w:tcPr>
            <w:tcW w:w="2700" w:type="dxa"/>
            <w:hideMark/>
          </w:tcPr>
          <w:p w:rsidR="001E5159" w:rsidRPr="00A169CE" w:rsidRDefault="001E5159" w:rsidP="00965284">
            <w:pPr>
              <w:widowControl/>
              <w:autoSpaceDE/>
              <w:autoSpaceDN/>
              <w:rPr>
                <w:rFonts w:eastAsia="Times New Roman"/>
                <w:color w:val="000000"/>
                <w:lang w:bidi="ar-SA"/>
              </w:rPr>
            </w:pPr>
          </w:p>
        </w:tc>
        <w:tc>
          <w:tcPr>
            <w:tcW w:w="2800" w:type="dxa"/>
            <w:hideMark/>
          </w:tcPr>
          <w:p w:rsidR="001E5159" w:rsidRPr="00A169CE" w:rsidRDefault="001E5159" w:rsidP="00965284">
            <w:pPr>
              <w:widowControl/>
              <w:autoSpaceDE/>
              <w:autoSpaceDN/>
              <w:rPr>
                <w:rFonts w:eastAsia="Times New Roman"/>
                <w:color w:val="000000"/>
                <w:lang w:bidi="ar-SA"/>
              </w:rPr>
            </w:pPr>
            <w:r w:rsidRPr="00A169CE">
              <w:rPr>
                <w:rFonts w:eastAsia="Times New Roman"/>
                <w:color w:val="000000"/>
                <w:lang w:bidi="ar-SA"/>
              </w:rPr>
              <w:t xml:space="preserve">Veterans Services </w:t>
            </w:r>
          </w:p>
        </w:tc>
        <w:tc>
          <w:tcPr>
            <w:tcW w:w="2700" w:type="dxa"/>
            <w:hideMark/>
          </w:tcPr>
          <w:p w:rsidR="001E5159" w:rsidRPr="00A169CE" w:rsidRDefault="001E5159" w:rsidP="00965284">
            <w:pPr>
              <w:widowControl/>
              <w:autoSpaceDE/>
              <w:autoSpaceDN/>
              <w:jc w:val="right"/>
              <w:rPr>
                <w:rFonts w:eastAsia="Times New Roman"/>
                <w:color w:val="000000"/>
                <w:lang w:bidi="ar-SA"/>
              </w:rPr>
            </w:pPr>
            <w:r w:rsidRPr="00A169CE">
              <w:rPr>
                <w:rFonts w:eastAsia="Times New Roman"/>
                <w:color w:val="000000"/>
                <w:lang w:bidi="ar-SA"/>
              </w:rPr>
              <w:t>$152,000</w:t>
            </w:r>
          </w:p>
        </w:tc>
      </w:tr>
      <w:tr w:rsidR="001E5159" w:rsidRPr="00A169CE" w:rsidTr="008D6536">
        <w:trPr>
          <w:divId w:val="42410299"/>
          <w:trHeight w:val="300"/>
        </w:trPr>
        <w:tc>
          <w:tcPr>
            <w:tcW w:w="2700" w:type="dxa"/>
            <w:hideMark/>
          </w:tcPr>
          <w:p w:rsidR="001E5159" w:rsidRPr="00A169CE" w:rsidRDefault="001E5159" w:rsidP="00965284">
            <w:pPr>
              <w:widowControl/>
              <w:autoSpaceDE/>
              <w:autoSpaceDN/>
              <w:rPr>
                <w:rFonts w:eastAsia="Times New Roman"/>
                <w:color w:val="000000"/>
                <w:lang w:bidi="ar-SA"/>
              </w:rPr>
            </w:pPr>
          </w:p>
        </w:tc>
        <w:tc>
          <w:tcPr>
            <w:tcW w:w="2800" w:type="dxa"/>
            <w:hideMark/>
          </w:tcPr>
          <w:p w:rsidR="001E5159" w:rsidRPr="00A169CE" w:rsidRDefault="001E5159" w:rsidP="00965284">
            <w:pPr>
              <w:widowControl/>
              <w:autoSpaceDE/>
              <w:autoSpaceDN/>
              <w:rPr>
                <w:rFonts w:eastAsia="Times New Roman"/>
                <w:color w:val="000000"/>
                <w:lang w:bidi="ar-SA"/>
              </w:rPr>
            </w:pPr>
            <w:r w:rsidRPr="00A169CE">
              <w:rPr>
                <w:rFonts w:eastAsia="Times New Roman"/>
                <w:color w:val="000000"/>
                <w:lang w:bidi="ar-SA"/>
              </w:rPr>
              <w:t>College Promise</w:t>
            </w:r>
          </w:p>
        </w:tc>
        <w:tc>
          <w:tcPr>
            <w:tcW w:w="2700" w:type="dxa"/>
            <w:hideMark/>
          </w:tcPr>
          <w:p w:rsidR="001E5159" w:rsidRPr="00A169CE" w:rsidRDefault="001E5159" w:rsidP="00965284">
            <w:pPr>
              <w:widowControl/>
              <w:autoSpaceDE/>
              <w:autoSpaceDN/>
              <w:jc w:val="right"/>
              <w:rPr>
                <w:rFonts w:eastAsia="Times New Roman"/>
                <w:color w:val="000000"/>
                <w:lang w:bidi="ar-SA"/>
              </w:rPr>
            </w:pPr>
            <w:r w:rsidRPr="00A169CE">
              <w:rPr>
                <w:rFonts w:eastAsia="Times New Roman"/>
                <w:color w:val="000000"/>
                <w:lang w:bidi="ar-SA"/>
              </w:rPr>
              <w:t>$10,000</w:t>
            </w:r>
          </w:p>
        </w:tc>
      </w:tr>
      <w:tr w:rsidR="001E5159" w:rsidRPr="00A169CE" w:rsidTr="008D6536">
        <w:trPr>
          <w:divId w:val="42410299"/>
          <w:trHeight w:val="300"/>
        </w:trPr>
        <w:tc>
          <w:tcPr>
            <w:tcW w:w="2700" w:type="dxa"/>
            <w:hideMark/>
          </w:tcPr>
          <w:p w:rsidR="001E5159" w:rsidRPr="00A169CE" w:rsidRDefault="001E5159" w:rsidP="00965284">
            <w:pPr>
              <w:widowControl/>
              <w:autoSpaceDE/>
              <w:autoSpaceDN/>
              <w:rPr>
                <w:rFonts w:eastAsia="Times New Roman"/>
                <w:color w:val="000000"/>
                <w:lang w:bidi="ar-SA"/>
              </w:rPr>
            </w:pPr>
          </w:p>
        </w:tc>
        <w:tc>
          <w:tcPr>
            <w:tcW w:w="2800" w:type="dxa"/>
            <w:hideMark/>
          </w:tcPr>
          <w:p w:rsidR="001E5159" w:rsidRPr="00A169CE" w:rsidRDefault="001E5159" w:rsidP="00965284">
            <w:pPr>
              <w:widowControl/>
              <w:autoSpaceDE/>
              <w:autoSpaceDN/>
              <w:rPr>
                <w:rFonts w:eastAsia="Times New Roman"/>
                <w:color w:val="000000"/>
                <w:lang w:bidi="ar-SA"/>
              </w:rPr>
            </w:pPr>
            <w:r w:rsidRPr="00A169CE">
              <w:rPr>
                <w:rFonts w:eastAsia="Times New Roman"/>
                <w:color w:val="000000"/>
                <w:lang w:bidi="ar-SA"/>
              </w:rPr>
              <w:t xml:space="preserve">Professional Development </w:t>
            </w:r>
          </w:p>
        </w:tc>
        <w:tc>
          <w:tcPr>
            <w:tcW w:w="2700" w:type="dxa"/>
            <w:hideMark/>
          </w:tcPr>
          <w:p w:rsidR="001E5159" w:rsidRPr="00A169CE" w:rsidRDefault="001E5159" w:rsidP="00965284">
            <w:pPr>
              <w:widowControl/>
              <w:autoSpaceDE/>
              <w:autoSpaceDN/>
              <w:jc w:val="right"/>
              <w:rPr>
                <w:rFonts w:eastAsia="Times New Roman"/>
                <w:color w:val="000000"/>
                <w:lang w:bidi="ar-SA"/>
              </w:rPr>
            </w:pPr>
            <w:r w:rsidRPr="00A169CE">
              <w:rPr>
                <w:rFonts w:eastAsia="Times New Roman"/>
                <w:color w:val="000000"/>
                <w:lang w:bidi="ar-SA"/>
              </w:rPr>
              <w:t>$25,000</w:t>
            </w:r>
          </w:p>
        </w:tc>
      </w:tr>
      <w:tr w:rsidR="001E5159" w:rsidRPr="00A169CE" w:rsidTr="008D6536">
        <w:trPr>
          <w:divId w:val="42410299"/>
          <w:trHeight w:val="300"/>
        </w:trPr>
        <w:tc>
          <w:tcPr>
            <w:tcW w:w="2700" w:type="dxa"/>
            <w:hideMark/>
          </w:tcPr>
          <w:p w:rsidR="001E5159" w:rsidRPr="00A169CE" w:rsidRDefault="001E5159" w:rsidP="00965284">
            <w:pPr>
              <w:widowControl/>
              <w:autoSpaceDE/>
              <w:autoSpaceDN/>
              <w:rPr>
                <w:rFonts w:eastAsia="Times New Roman"/>
                <w:color w:val="000000"/>
                <w:lang w:bidi="ar-SA"/>
              </w:rPr>
            </w:pPr>
          </w:p>
        </w:tc>
        <w:tc>
          <w:tcPr>
            <w:tcW w:w="2800" w:type="dxa"/>
            <w:hideMark/>
          </w:tcPr>
          <w:p w:rsidR="001E5159" w:rsidRPr="00A169CE" w:rsidRDefault="001E5159" w:rsidP="00965284">
            <w:pPr>
              <w:widowControl/>
              <w:autoSpaceDE/>
              <w:autoSpaceDN/>
              <w:rPr>
                <w:rFonts w:eastAsia="Times New Roman"/>
                <w:color w:val="000000"/>
                <w:lang w:bidi="ar-SA"/>
              </w:rPr>
            </w:pPr>
            <w:r w:rsidRPr="00A169CE">
              <w:rPr>
                <w:rFonts w:eastAsia="Times New Roman"/>
                <w:color w:val="000000"/>
                <w:lang w:bidi="ar-SA"/>
              </w:rPr>
              <w:t xml:space="preserve">Peer Mentoring </w:t>
            </w:r>
          </w:p>
        </w:tc>
        <w:tc>
          <w:tcPr>
            <w:tcW w:w="2700" w:type="dxa"/>
            <w:hideMark/>
          </w:tcPr>
          <w:p w:rsidR="001E5159" w:rsidRPr="00A169CE" w:rsidRDefault="001E5159" w:rsidP="00965284">
            <w:pPr>
              <w:widowControl/>
              <w:autoSpaceDE/>
              <w:autoSpaceDN/>
              <w:jc w:val="right"/>
              <w:rPr>
                <w:rFonts w:eastAsia="Times New Roman"/>
                <w:color w:val="000000"/>
                <w:lang w:bidi="ar-SA"/>
              </w:rPr>
            </w:pPr>
            <w:r w:rsidRPr="00A169CE">
              <w:rPr>
                <w:rFonts w:eastAsia="Times New Roman"/>
                <w:color w:val="000000"/>
                <w:lang w:bidi="ar-SA"/>
              </w:rPr>
              <w:t>$150,000</w:t>
            </w:r>
          </w:p>
        </w:tc>
      </w:tr>
      <w:tr w:rsidR="001E5159" w:rsidRPr="00A169CE" w:rsidTr="008D6536">
        <w:trPr>
          <w:divId w:val="42410299"/>
          <w:trHeight w:val="900"/>
        </w:trPr>
        <w:tc>
          <w:tcPr>
            <w:tcW w:w="2700" w:type="dxa"/>
            <w:hideMark/>
          </w:tcPr>
          <w:p w:rsidR="001E5159" w:rsidRPr="00A169CE" w:rsidRDefault="001E5159" w:rsidP="00965284">
            <w:pPr>
              <w:widowControl/>
              <w:autoSpaceDE/>
              <w:autoSpaceDN/>
              <w:rPr>
                <w:rFonts w:eastAsia="Times New Roman"/>
                <w:color w:val="000000"/>
                <w:lang w:bidi="ar-SA"/>
              </w:rPr>
            </w:pPr>
          </w:p>
        </w:tc>
        <w:tc>
          <w:tcPr>
            <w:tcW w:w="2800" w:type="dxa"/>
            <w:hideMark/>
          </w:tcPr>
          <w:p w:rsidR="001E5159" w:rsidRPr="00A169CE" w:rsidRDefault="001E5159" w:rsidP="00965284">
            <w:pPr>
              <w:widowControl/>
              <w:autoSpaceDE/>
              <w:autoSpaceDN/>
              <w:rPr>
                <w:rFonts w:eastAsia="Times New Roman"/>
                <w:color w:val="000000"/>
                <w:lang w:bidi="ar-SA"/>
              </w:rPr>
            </w:pPr>
            <w:r w:rsidRPr="00A169CE">
              <w:rPr>
                <w:rFonts w:eastAsia="Times New Roman"/>
                <w:color w:val="000000"/>
                <w:lang w:bidi="ar-SA"/>
              </w:rPr>
              <w:t>Targeted "get on the path</w:t>
            </w:r>
            <w:r>
              <w:rPr>
                <w:rFonts w:eastAsia="Times New Roman"/>
                <w:color w:val="000000"/>
                <w:lang w:bidi="ar-SA"/>
              </w:rPr>
              <w:t>/stay on the path</w:t>
            </w:r>
            <w:r w:rsidRPr="00A169CE">
              <w:rPr>
                <w:rFonts w:eastAsia="Times New Roman"/>
                <w:color w:val="000000"/>
                <w:lang w:bidi="ar-SA"/>
              </w:rPr>
              <w:t>" events: Meet your Major, Meet your Counselor, etc.)</w:t>
            </w:r>
          </w:p>
        </w:tc>
        <w:tc>
          <w:tcPr>
            <w:tcW w:w="2700" w:type="dxa"/>
            <w:hideMark/>
          </w:tcPr>
          <w:p w:rsidR="001E5159" w:rsidRPr="00A169CE" w:rsidRDefault="001E5159" w:rsidP="00965284">
            <w:pPr>
              <w:widowControl/>
              <w:autoSpaceDE/>
              <w:autoSpaceDN/>
              <w:jc w:val="right"/>
              <w:rPr>
                <w:rFonts w:eastAsia="Times New Roman"/>
                <w:color w:val="000000"/>
                <w:lang w:bidi="ar-SA"/>
              </w:rPr>
            </w:pPr>
            <w:r w:rsidRPr="00A169CE">
              <w:rPr>
                <w:rFonts w:eastAsia="Times New Roman"/>
                <w:color w:val="000000"/>
                <w:lang w:bidi="ar-SA"/>
              </w:rPr>
              <w:t>$508,369</w:t>
            </w:r>
          </w:p>
        </w:tc>
      </w:tr>
      <w:tr w:rsidR="001E5159" w:rsidRPr="00A169CE" w:rsidTr="008D6536">
        <w:trPr>
          <w:divId w:val="42410299"/>
          <w:trHeight w:val="315"/>
        </w:trPr>
        <w:tc>
          <w:tcPr>
            <w:tcW w:w="2700" w:type="dxa"/>
            <w:hideMark/>
          </w:tcPr>
          <w:p w:rsidR="001E5159" w:rsidRPr="00A169CE" w:rsidRDefault="001E5159" w:rsidP="00965284">
            <w:pPr>
              <w:widowControl/>
              <w:autoSpaceDE/>
              <w:autoSpaceDN/>
              <w:rPr>
                <w:rFonts w:eastAsia="Times New Roman"/>
                <w:color w:val="000000"/>
                <w:lang w:bidi="ar-SA"/>
              </w:rPr>
            </w:pPr>
          </w:p>
        </w:tc>
        <w:tc>
          <w:tcPr>
            <w:tcW w:w="2800" w:type="dxa"/>
            <w:hideMark/>
          </w:tcPr>
          <w:p w:rsidR="001E5159" w:rsidRPr="00A169CE" w:rsidRDefault="001E5159" w:rsidP="00965284">
            <w:pPr>
              <w:widowControl/>
              <w:autoSpaceDE/>
              <w:autoSpaceDN/>
              <w:rPr>
                <w:rFonts w:eastAsia="Times New Roman"/>
                <w:b/>
                <w:bCs/>
                <w:color w:val="000000"/>
                <w:lang w:bidi="ar-SA"/>
              </w:rPr>
            </w:pPr>
            <w:r w:rsidRPr="00A169CE">
              <w:rPr>
                <w:rFonts w:eastAsia="Times New Roman"/>
                <w:b/>
                <w:bCs/>
                <w:color w:val="000000"/>
                <w:lang w:bidi="ar-SA"/>
              </w:rPr>
              <w:t>Total</w:t>
            </w:r>
          </w:p>
        </w:tc>
        <w:tc>
          <w:tcPr>
            <w:tcW w:w="2700" w:type="dxa"/>
            <w:hideMark/>
          </w:tcPr>
          <w:p w:rsidR="001E5159" w:rsidRPr="00A169CE" w:rsidRDefault="001E5159" w:rsidP="00965284">
            <w:pPr>
              <w:widowControl/>
              <w:autoSpaceDE/>
              <w:autoSpaceDN/>
              <w:jc w:val="right"/>
              <w:rPr>
                <w:rFonts w:eastAsia="Times New Roman"/>
                <w:b/>
                <w:bCs/>
                <w:color w:val="000000"/>
                <w:lang w:bidi="ar-SA"/>
              </w:rPr>
            </w:pPr>
            <w:r w:rsidRPr="00A169CE">
              <w:rPr>
                <w:rFonts w:eastAsia="Times New Roman"/>
                <w:b/>
                <w:bCs/>
                <w:color w:val="000000"/>
                <w:lang w:bidi="ar-SA"/>
              </w:rPr>
              <w:t>$1,908,517</w:t>
            </w:r>
          </w:p>
        </w:tc>
      </w:tr>
    </w:tbl>
    <w:p w:rsidR="001A1D3C" w:rsidRDefault="001A1D3C" w:rsidP="00E25F2B">
      <w:pPr>
        <w:pStyle w:val="BodyText"/>
        <w:spacing w:before="1"/>
        <w:ind w:left="900"/>
        <w:rPr>
          <w:sz w:val="22"/>
        </w:rPr>
      </w:pPr>
      <w:r w:rsidRPr="00A169CE">
        <w:rPr>
          <w:sz w:val="22"/>
          <w:szCs w:val="22"/>
        </w:rPr>
        <w:fldChar w:fldCharType="end"/>
      </w:r>
    </w:p>
    <w:p w:rsidR="00711913" w:rsidRDefault="00711913" w:rsidP="00E25F2B">
      <w:pPr>
        <w:pStyle w:val="BodyText"/>
        <w:spacing w:before="1"/>
        <w:ind w:left="900"/>
        <w:rPr>
          <w:sz w:val="22"/>
        </w:rPr>
      </w:pPr>
    </w:p>
    <w:p w:rsidR="00744929" w:rsidRPr="00F243A6" w:rsidRDefault="00711913" w:rsidP="00E25F2B">
      <w:pPr>
        <w:pStyle w:val="BodyText"/>
        <w:spacing w:before="1"/>
        <w:ind w:left="900"/>
        <w:rPr>
          <w:b/>
          <w:i/>
          <w:sz w:val="22"/>
        </w:rPr>
      </w:pPr>
      <w:r w:rsidRPr="00F243A6">
        <w:rPr>
          <w:b/>
          <w:i/>
          <w:sz w:val="22"/>
        </w:rPr>
        <w:t xml:space="preserve">METRIC 3: </w:t>
      </w:r>
      <w:r w:rsidR="00744929" w:rsidRPr="00F243A6">
        <w:rPr>
          <w:b/>
          <w:i/>
          <w:sz w:val="22"/>
        </w:rPr>
        <w:t>COMPLETION OF TRANSFER-LEVEL ENGLISH AND MATH</w:t>
      </w:r>
    </w:p>
    <w:p w:rsidR="00B379EF" w:rsidRDefault="00B379EF" w:rsidP="00B379EF">
      <w:pPr>
        <w:pStyle w:val="BodyText"/>
        <w:spacing w:before="1"/>
        <w:ind w:left="900" w:right="510"/>
        <w:rPr>
          <w:sz w:val="22"/>
        </w:rPr>
      </w:pPr>
      <w:r>
        <w:rPr>
          <w:sz w:val="22"/>
        </w:rPr>
        <w:t>This success metric refers to the successful completion of transfer-level math and English courses within a student’s first year of attendance at Pierce College. Data was received with the support of the OIE, from the CCCCO’s MIS system during the 2017-2018 academic year. Based on the data provided, 4,040 students attempted both transfer-level math and English courses and 254 successfully completed, allowing for an overall rate of 6.28% for successful completion.  Listed in the chart below are the disproportionately impacted populations in the area of completion of transfer-level English and math.</w:t>
      </w:r>
    </w:p>
    <w:p w:rsidR="00B379EF" w:rsidRDefault="00B379EF" w:rsidP="00B379EF">
      <w:pPr>
        <w:pStyle w:val="BodyText"/>
        <w:spacing w:before="1"/>
        <w:ind w:left="900" w:right="510"/>
        <w:rPr>
          <w:sz w:val="22"/>
        </w:rPr>
      </w:pPr>
    </w:p>
    <w:p w:rsidR="00B379EF" w:rsidRPr="00A169CE" w:rsidRDefault="00B379EF" w:rsidP="00B379EF">
      <w:pPr>
        <w:pStyle w:val="BodyText"/>
        <w:spacing w:before="1"/>
        <w:ind w:left="900" w:right="510"/>
        <w:rPr>
          <w:b/>
          <w:sz w:val="22"/>
          <w:szCs w:val="22"/>
        </w:rPr>
      </w:pPr>
      <w:r w:rsidRPr="00A169CE">
        <w:rPr>
          <w:b/>
          <w:sz w:val="22"/>
          <w:szCs w:val="22"/>
        </w:rPr>
        <w:t xml:space="preserve">Table </w:t>
      </w:r>
      <w:r w:rsidR="00A169CE" w:rsidRPr="00A169CE">
        <w:rPr>
          <w:b/>
          <w:sz w:val="22"/>
          <w:szCs w:val="22"/>
        </w:rPr>
        <w:t>5.5</w:t>
      </w:r>
      <w:r w:rsidRPr="00A169CE">
        <w:rPr>
          <w:b/>
          <w:sz w:val="22"/>
          <w:szCs w:val="22"/>
        </w:rPr>
        <w:t xml:space="preserve"> </w:t>
      </w:r>
      <w:bookmarkStart w:id="9" w:name="_Hlk8028595"/>
      <w:r w:rsidR="00F00473" w:rsidRPr="00A169CE">
        <w:rPr>
          <w:b/>
          <w:sz w:val="22"/>
          <w:szCs w:val="22"/>
        </w:rPr>
        <w:t xml:space="preserve">Current success rates and proposed goals for Pierce College’s disproportionately impacted students in the area of </w:t>
      </w:r>
      <w:r w:rsidRPr="00A169CE">
        <w:rPr>
          <w:b/>
          <w:sz w:val="22"/>
          <w:szCs w:val="22"/>
        </w:rPr>
        <w:t>completion</w:t>
      </w:r>
      <w:r w:rsidR="00DA1CBD" w:rsidRPr="00A169CE">
        <w:rPr>
          <w:b/>
          <w:sz w:val="22"/>
          <w:szCs w:val="22"/>
        </w:rPr>
        <w:t xml:space="preserve"> of transfer-level math and English</w:t>
      </w:r>
    </w:p>
    <w:tbl>
      <w:tblPr>
        <w:tblStyle w:val="TableGrid"/>
        <w:tblW w:w="0" w:type="auto"/>
        <w:tblInd w:w="909" w:type="dxa"/>
        <w:tblLayout w:type="fixed"/>
        <w:tblLook w:val="01E0" w:firstRow="1" w:lastRow="1" w:firstColumn="1" w:lastColumn="1" w:noHBand="0" w:noVBand="0"/>
        <w:tblCaption w:val="Current success rates and proposed goals for Pierce College’s disproportionately impacted students in the area of completion"/>
        <w:tblDescription w:val="Current success rates and proposed goals for Pierce College’s disproportionately impacted students in the area of completion of transfer-level math and English"/>
      </w:tblPr>
      <w:tblGrid>
        <w:gridCol w:w="2944"/>
        <w:gridCol w:w="1710"/>
        <w:gridCol w:w="1710"/>
        <w:gridCol w:w="1710"/>
        <w:gridCol w:w="1800"/>
      </w:tblGrid>
      <w:tr w:rsidR="00B379EF" w:rsidRPr="00E1143A" w:rsidTr="00A72BF6">
        <w:trPr>
          <w:trHeight w:val="299"/>
        </w:trPr>
        <w:tc>
          <w:tcPr>
            <w:tcW w:w="2944" w:type="dxa"/>
          </w:tcPr>
          <w:p w:rsidR="00B379EF" w:rsidRPr="00E1143A" w:rsidRDefault="00B379EF" w:rsidP="00C02689">
            <w:pPr>
              <w:spacing w:before="11"/>
              <w:ind w:left="153" w:right="141"/>
              <w:jc w:val="center"/>
              <w:rPr>
                <w:b/>
              </w:rPr>
            </w:pPr>
            <w:bookmarkStart w:id="10" w:name="_Hlk8026352"/>
            <w:bookmarkEnd w:id="9"/>
            <w:r>
              <w:rPr>
                <w:b/>
              </w:rPr>
              <w:t>Disproportionately Impacted</w:t>
            </w:r>
            <w:r w:rsidRPr="00E1143A">
              <w:rPr>
                <w:b/>
              </w:rPr>
              <w:t xml:space="preserve"> Student Groups</w:t>
            </w:r>
          </w:p>
        </w:tc>
        <w:tc>
          <w:tcPr>
            <w:tcW w:w="1710" w:type="dxa"/>
          </w:tcPr>
          <w:p w:rsidR="00B379EF" w:rsidRDefault="00B379EF" w:rsidP="00C02689">
            <w:pPr>
              <w:spacing w:before="11"/>
              <w:ind w:left="153" w:right="141"/>
              <w:jc w:val="center"/>
              <w:rPr>
                <w:b/>
              </w:rPr>
            </w:pPr>
            <w:r>
              <w:rPr>
                <w:b/>
              </w:rPr>
              <w:t>Cohort Count</w:t>
            </w:r>
          </w:p>
        </w:tc>
        <w:tc>
          <w:tcPr>
            <w:tcW w:w="1710" w:type="dxa"/>
          </w:tcPr>
          <w:p w:rsidR="000D6D34" w:rsidRDefault="000D6D34" w:rsidP="00C02689">
            <w:pPr>
              <w:spacing w:before="11"/>
              <w:ind w:left="153" w:right="141"/>
              <w:jc w:val="center"/>
              <w:rPr>
                <w:b/>
              </w:rPr>
            </w:pPr>
            <w:r>
              <w:rPr>
                <w:b/>
              </w:rPr>
              <w:t>Current</w:t>
            </w:r>
          </w:p>
          <w:p w:rsidR="00B379EF" w:rsidRDefault="00B379EF" w:rsidP="00C02689">
            <w:pPr>
              <w:spacing w:before="11"/>
              <w:ind w:left="153" w:right="141"/>
              <w:jc w:val="center"/>
              <w:rPr>
                <w:b/>
              </w:rPr>
            </w:pPr>
            <w:r>
              <w:rPr>
                <w:b/>
              </w:rPr>
              <w:t>Success Count</w:t>
            </w:r>
          </w:p>
        </w:tc>
        <w:tc>
          <w:tcPr>
            <w:tcW w:w="1710" w:type="dxa"/>
          </w:tcPr>
          <w:p w:rsidR="00B379EF" w:rsidRDefault="00B379EF" w:rsidP="00C02689">
            <w:pPr>
              <w:spacing w:before="11"/>
              <w:ind w:left="153" w:right="141"/>
              <w:jc w:val="center"/>
              <w:rPr>
                <w:b/>
              </w:rPr>
            </w:pPr>
            <w:r>
              <w:rPr>
                <w:b/>
              </w:rPr>
              <w:t>Current Success Rate</w:t>
            </w:r>
          </w:p>
        </w:tc>
        <w:tc>
          <w:tcPr>
            <w:tcW w:w="1800" w:type="dxa"/>
          </w:tcPr>
          <w:p w:rsidR="00B379EF" w:rsidRDefault="00B379EF" w:rsidP="00C02689">
            <w:pPr>
              <w:spacing w:before="11"/>
              <w:ind w:left="153" w:right="141"/>
              <w:jc w:val="center"/>
              <w:rPr>
                <w:b/>
              </w:rPr>
            </w:pPr>
            <w:r>
              <w:rPr>
                <w:b/>
              </w:rPr>
              <w:t>Goal</w:t>
            </w:r>
          </w:p>
        </w:tc>
      </w:tr>
      <w:tr w:rsidR="00B379EF" w:rsidRPr="00E1143A" w:rsidTr="00A72BF6">
        <w:trPr>
          <w:trHeight w:val="299"/>
        </w:trPr>
        <w:tc>
          <w:tcPr>
            <w:tcW w:w="2944" w:type="dxa"/>
          </w:tcPr>
          <w:p w:rsidR="00B379EF" w:rsidRDefault="00B379EF" w:rsidP="00C02689">
            <w:pPr>
              <w:spacing w:before="13" w:line="266" w:lineRule="exact"/>
              <w:ind w:left="153" w:right="137"/>
            </w:pPr>
            <w:r>
              <w:t>African American or Black students</w:t>
            </w:r>
          </w:p>
          <w:p w:rsidR="00B379EF" w:rsidRDefault="00B379EF" w:rsidP="00C02689">
            <w:pPr>
              <w:spacing w:before="13" w:line="266" w:lineRule="exact"/>
              <w:ind w:left="153" w:right="137"/>
            </w:pPr>
          </w:p>
        </w:tc>
        <w:tc>
          <w:tcPr>
            <w:tcW w:w="1710" w:type="dxa"/>
          </w:tcPr>
          <w:p w:rsidR="00B379EF" w:rsidRDefault="00B379EF" w:rsidP="00C02689">
            <w:pPr>
              <w:spacing w:before="13" w:line="266" w:lineRule="exact"/>
              <w:ind w:left="153" w:right="137"/>
              <w:jc w:val="center"/>
            </w:pPr>
            <w:r>
              <w:t>221</w:t>
            </w:r>
          </w:p>
        </w:tc>
        <w:tc>
          <w:tcPr>
            <w:tcW w:w="1710" w:type="dxa"/>
          </w:tcPr>
          <w:p w:rsidR="00B379EF" w:rsidRDefault="00B379EF" w:rsidP="00C02689">
            <w:pPr>
              <w:spacing w:before="13" w:line="266" w:lineRule="exact"/>
              <w:ind w:left="153" w:right="137"/>
              <w:jc w:val="center"/>
            </w:pPr>
            <w:r>
              <w:t>3</w:t>
            </w:r>
          </w:p>
        </w:tc>
        <w:tc>
          <w:tcPr>
            <w:tcW w:w="1710" w:type="dxa"/>
          </w:tcPr>
          <w:p w:rsidR="00B379EF" w:rsidRDefault="00B379EF" w:rsidP="00C02689">
            <w:pPr>
              <w:spacing w:before="13" w:line="266" w:lineRule="exact"/>
              <w:ind w:left="153" w:right="137"/>
              <w:jc w:val="center"/>
            </w:pPr>
            <w:r>
              <w:t>1.4%</w:t>
            </w:r>
          </w:p>
        </w:tc>
        <w:tc>
          <w:tcPr>
            <w:tcW w:w="1800" w:type="dxa"/>
          </w:tcPr>
          <w:p w:rsidR="00B379EF" w:rsidRDefault="002134BC" w:rsidP="00C02689">
            <w:pPr>
              <w:spacing w:before="13" w:line="266" w:lineRule="exact"/>
              <w:ind w:left="153" w:right="137"/>
              <w:jc w:val="center"/>
            </w:pPr>
            <w:r>
              <w:t xml:space="preserve">Eliminate Gap </w:t>
            </w:r>
          </w:p>
        </w:tc>
      </w:tr>
      <w:bookmarkEnd w:id="10"/>
      <w:tr w:rsidR="00606EA7" w:rsidRPr="00E1143A" w:rsidTr="00A72BF6">
        <w:trPr>
          <w:trHeight w:val="299"/>
        </w:trPr>
        <w:tc>
          <w:tcPr>
            <w:tcW w:w="2944" w:type="dxa"/>
          </w:tcPr>
          <w:p w:rsidR="00606EA7" w:rsidRDefault="00606EA7" w:rsidP="00C02689">
            <w:pPr>
              <w:spacing w:before="13" w:line="266" w:lineRule="exact"/>
              <w:ind w:left="153" w:right="137"/>
            </w:pPr>
            <w:r>
              <w:t>Pacific Islander or Hawaiian Native</w:t>
            </w:r>
          </w:p>
        </w:tc>
        <w:tc>
          <w:tcPr>
            <w:tcW w:w="1710" w:type="dxa"/>
          </w:tcPr>
          <w:p w:rsidR="00606EA7" w:rsidRDefault="00606EA7" w:rsidP="00C02689">
            <w:pPr>
              <w:spacing w:before="13" w:line="266" w:lineRule="exact"/>
              <w:ind w:left="153" w:right="137"/>
              <w:jc w:val="center"/>
            </w:pPr>
            <w:r>
              <w:t>11</w:t>
            </w:r>
          </w:p>
        </w:tc>
        <w:tc>
          <w:tcPr>
            <w:tcW w:w="1710" w:type="dxa"/>
          </w:tcPr>
          <w:p w:rsidR="00606EA7" w:rsidRDefault="00606EA7" w:rsidP="00C02689">
            <w:pPr>
              <w:spacing w:before="13" w:line="266" w:lineRule="exact"/>
              <w:ind w:left="153" w:right="137"/>
              <w:jc w:val="center"/>
            </w:pPr>
            <w:r>
              <w:t>0</w:t>
            </w:r>
          </w:p>
        </w:tc>
        <w:tc>
          <w:tcPr>
            <w:tcW w:w="1710" w:type="dxa"/>
          </w:tcPr>
          <w:p w:rsidR="00606EA7" w:rsidRDefault="00606EA7" w:rsidP="00C02689">
            <w:pPr>
              <w:spacing w:before="13" w:line="266" w:lineRule="exact"/>
              <w:ind w:left="153" w:right="137"/>
              <w:jc w:val="center"/>
            </w:pPr>
            <w:r>
              <w:t>0%</w:t>
            </w:r>
          </w:p>
        </w:tc>
        <w:tc>
          <w:tcPr>
            <w:tcW w:w="1800" w:type="dxa"/>
          </w:tcPr>
          <w:p w:rsidR="00606EA7" w:rsidRDefault="00606EA7" w:rsidP="00C02689">
            <w:pPr>
              <w:spacing w:before="13" w:line="266" w:lineRule="exact"/>
              <w:ind w:left="153" w:right="137"/>
              <w:jc w:val="center"/>
            </w:pPr>
            <w:r>
              <w:t>9%</w:t>
            </w:r>
          </w:p>
        </w:tc>
      </w:tr>
      <w:tr w:rsidR="00606EA7" w:rsidRPr="00E1143A" w:rsidTr="00A72BF6">
        <w:trPr>
          <w:trHeight w:val="299"/>
        </w:trPr>
        <w:tc>
          <w:tcPr>
            <w:tcW w:w="2944" w:type="dxa"/>
          </w:tcPr>
          <w:p w:rsidR="00606EA7" w:rsidRDefault="00606EA7" w:rsidP="00C02689">
            <w:pPr>
              <w:spacing w:before="13" w:line="266" w:lineRule="exact"/>
              <w:ind w:left="153" w:right="137"/>
            </w:pPr>
            <w:r>
              <w:t>Female students who identify as LGBTQ</w:t>
            </w:r>
          </w:p>
        </w:tc>
        <w:tc>
          <w:tcPr>
            <w:tcW w:w="1710" w:type="dxa"/>
          </w:tcPr>
          <w:p w:rsidR="00606EA7" w:rsidRDefault="00606EA7" w:rsidP="00C02689">
            <w:pPr>
              <w:spacing w:before="13" w:line="266" w:lineRule="exact"/>
              <w:ind w:left="153" w:right="137"/>
              <w:jc w:val="center"/>
            </w:pPr>
            <w:r>
              <w:t>92</w:t>
            </w:r>
          </w:p>
        </w:tc>
        <w:tc>
          <w:tcPr>
            <w:tcW w:w="1710" w:type="dxa"/>
          </w:tcPr>
          <w:p w:rsidR="00606EA7" w:rsidRDefault="00606EA7" w:rsidP="00C02689">
            <w:pPr>
              <w:spacing w:before="13" w:line="266" w:lineRule="exact"/>
              <w:ind w:left="153" w:right="137"/>
              <w:jc w:val="center"/>
            </w:pPr>
            <w:r>
              <w:t>1</w:t>
            </w:r>
          </w:p>
        </w:tc>
        <w:tc>
          <w:tcPr>
            <w:tcW w:w="1710" w:type="dxa"/>
          </w:tcPr>
          <w:p w:rsidR="00606EA7" w:rsidRDefault="00606EA7" w:rsidP="00C02689">
            <w:pPr>
              <w:spacing w:before="13" w:line="266" w:lineRule="exact"/>
              <w:ind w:left="153" w:right="137"/>
              <w:jc w:val="center"/>
            </w:pPr>
            <w:r>
              <w:t>5.19%</w:t>
            </w:r>
          </w:p>
        </w:tc>
        <w:tc>
          <w:tcPr>
            <w:tcW w:w="1800" w:type="dxa"/>
          </w:tcPr>
          <w:p w:rsidR="00606EA7" w:rsidRDefault="00606EA7" w:rsidP="00C02689">
            <w:pPr>
              <w:spacing w:before="13" w:line="266" w:lineRule="exact"/>
              <w:ind w:left="153" w:right="137"/>
              <w:jc w:val="center"/>
            </w:pPr>
            <w:r>
              <w:t>6%</w:t>
            </w:r>
          </w:p>
        </w:tc>
      </w:tr>
      <w:tr w:rsidR="00606EA7" w:rsidRPr="00E1143A" w:rsidTr="00A72BF6">
        <w:trPr>
          <w:trHeight w:val="299"/>
        </w:trPr>
        <w:tc>
          <w:tcPr>
            <w:tcW w:w="2944" w:type="dxa"/>
          </w:tcPr>
          <w:p w:rsidR="00606EA7" w:rsidRDefault="00606EA7" w:rsidP="00C02689">
            <w:pPr>
              <w:spacing w:before="13" w:line="266" w:lineRule="exact"/>
              <w:ind w:left="153" w:right="137"/>
            </w:pPr>
            <w:r>
              <w:t>Disabled students</w:t>
            </w:r>
          </w:p>
          <w:p w:rsidR="00606EA7" w:rsidRDefault="00606EA7" w:rsidP="00C02689">
            <w:pPr>
              <w:spacing w:before="13" w:line="266" w:lineRule="exact"/>
              <w:ind w:left="153" w:right="137"/>
            </w:pPr>
          </w:p>
        </w:tc>
        <w:tc>
          <w:tcPr>
            <w:tcW w:w="1710" w:type="dxa"/>
          </w:tcPr>
          <w:p w:rsidR="00606EA7" w:rsidRDefault="00606EA7" w:rsidP="00C02689">
            <w:pPr>
              <w:spacing w:before="13" w:line="266" w:lineRule="exact"/>
              <w:ind w:left="153" w:right="137"/>
              <w:jc w:val="center"/>
            </w:pPr>
            <w:r>
              <w:t>114</w:t>
            </w:r>
          </w:p>
        </w:tc>
        <w:tc>
          <w:tcPr>
            <w:tcW w:w="1710" w:type="dxa"/>
          </w:tcPr>
          <w:p w:rsidR="00606EA7" w:rsidRDefault="00606EA7" w:rsidP="00C02689">
            <w:pPr>
              <w:spacing w:before="13" w:line="266" w:lineRule="exact"/>
              <w:ind w:left="153" w:right="137"/>
              <w:jc w:val="center"/>
            </w:pPr>
            <w:r>
              <w:t>2</w:t>
            </w:r>
          </w:p>
        </w:tc>
        <w:tc>
          <w:tcPr>
            <w:tcW w:w="1710" w:type="dxa"/>
          </w:tcPr>
          <w:p w:rsidR="00606EA7" w:rsidRDefault="00606EA7" w:rsidP="00C02689">
            <w:pPr>
              <w:spacing w:before="13" w:line="266" w:lineRule="exact"/>
              <w:ind w:left="153" w:right="137"/>
              <w:jc w:val="center"/>
            </w:pPr>
            <w:r>
              <w:t>1.8%</w:t>
            </w:r>
          </w:p>
        </w:tc>
        <w:tc>
          <w:tcPr>
            <w:tcW w:w="1800" w:type="dxa"/>
          </w:tcPr>
          <w:p w:rsidR="00606EA7" w:rsidRDefault="002134BC" w:rsidP="00C02689">
            <w:pPr>
              <w:spacing w:before="13" w:line="266" w:lineRule="exact"/>
              <w:ind w:left="153" w:right="137"/>
              <w:jc w:val="center"/>
            </w:pPr>
            <w:r>
              <w:t>Eliminate Gap</w:t>
            </w:r>
          </w:p>
        </w:tc>
      </w:tr>
      <w:tr w:rsidR="00606EA7" w:rsidRPr="00E1143A" w:rsidTr="00A72BF6">
        <w:trPr>
          <w:trHeight w:val="299"/>
        </w:trPr>
        <w:tc>
          <w:tcPr>
            <w:tcW w:w="2944" w:type="dxa"/>
          </w:tcPr>
          <w:p w:rsidR="00606EA7" w:rsidRDefault="00606EA7" w:rsidP="00C02689">
            <w:pPr>
              <w:spacing w:before="13" w:line="266" w:lineRule="exact"/>
              <w:ind w:left="153" w:right="137"/>
            </w:pPr>
            <w:r>
              <w:t>Foster youth</w:t>
            </w:r>
          </w:p>
          <w:p w:rsidR="00606EA7" w:rsidRDefault="00606EA7" w:rsidP="00C02689">
            <w:pPr>
              <w:spacing w:before="13" w:line="266" w:lineRule="exact"/>
              <w:ind w:left="153" w:right="137"/>
            </w:pPr>
          </w:p>
        </w:tc>
        <w:tc>
          <w:tcPr>
            <w:tcW w:w="1710" w:type="dxa"/>
          </w:tcPr>
          <w:p w:rsidR="00606EA7" w:rsidRDefault="00606EA7" w:rsidP="00C02689">
            <w:pPr>
              <w:spacing w:before="13" w:line="266" w:lineRule="exact"/>
              <w:ind w:left="153" w:right="137"/>
              <w:jc w:val="center"/>
            </w:pPr>
            <w:r>
              <w:t>60</w:t>
            </w:r>
          </w:p>
        </w:tc>
        <w:tc>
          <w:tcPr>
            <w:tcW w:w="1710" w:type="dxa"/>
          </w:tcPr>
          <w:p w:rsidR="00606EA7" w:rsidRDefault="00606EA7" w:rsidP="00C02689">
            <w:pPr>
              <w:spacing w:before="13" w:line="266" w:lineRule="exact"/>
              <w:ind w:left="153" w:right="137"/>
              <w:jc w:val="center"/>
            </w:pPr>
            <w:r>
              <w:t>1</w:t>
            </w:r>
          </w:p>
        </w:tc>
        <w:tc>
          <w:tcPr>
            <w:tcW w:w="1710" w:type="dxa"/>
          </w:tcPr>
          <w:p w:rsidR="00606EA7" w:rsidRDefault="00606EA7" w:rsidP="00C02689">
            <w:pPr>
              <w:spacing w:before="13" w:line="266" w:lineRule="exact"/>
              <w:ind w:left="153" w:right="137"/>
              <w:jc w:val="center"/>
            </w:pPr>
            <w:r>
              <w:t>1.7%</w:t>
            </w:r>
          </w:p>
        </w:tc>
        <w:tc>
          <w:tcPr>
            <w:tcW w:w="1800" w:type="dxa"/>
          </w:tcPr>
          <w:p w:rsidR="00606EA7" w:rsidRDefault="002134BC" w:rsidP="00C02689">
            <w:pPr>
              <w:spacing w:before="13" w:line="266" w:lineRule="exact"/>
              <w:ind w:left="153" w:right="137"/>
              <w:jc w:val="center"/>
            </w:pPr>
            <w:r>
              <w:t>Eliminate Gap</w:t>
            </w:r>
          </w:p>
        </w:tc>
      </w:tr>
    </w:tbl>
    <w:p w:rsidR="00606EA7" w:rsidRDefault="00606EA7" w:rsidP="00E25F2B">
      <w:pPr>
        <w:pStyle w:val="BodyText"/>
        <w:spacing w:before="1"/>
        <w:ind w:left="900"/>
        <w:rPr>
          <w:sz w:val="22"/>
        </w:rPr>
      </w:pPr>
    </w:p>
    <w:p w:rsidR="00606EA7" w:rsidRDefault="00606EA7" w:rsidP="00E25F2B">
      <w:pPr>
        <w:pStyle w:val="BodyText"/>
        <w:spacing w:before="1"/>
        <w:ind w:left="900"/>
        <w:rPr>
          <w:sz w:val="22"/>
        </w:rPr>
      </w:pPr>
    </w:p>
    <w:p w:rsidR="00C62B4D" w:rsidRDefault="00C62B4D" w:rsidP="00E25F2B">
      <w:pPr>
        <w:pStyle w:val="BodyText"/>
        <w:spacing w:before="1"/>
        <w:ind w:left="900"/>
        <w:rPr>
          <w:b/>
          <w:i/>
          <w:sz w:val="22"/>
        </w:rPr>
      </w:pPr>
    </w:p>
    <w:p w:rsidR="00606EA7" w:rsidRPr="005A5D47" w:rsidRDefault="00606EA7" w:rsidP="00E25F2B">
      <w:pPr>
        <w:pStyle w:val="BodyText"/>
        <w:spacing w:before="1"/>
        <w:ind w:left="900"/>
        <w:rPr>
          <w:b/>
          <w:i/>
          <w:sz w:val="22"/>
        </w:rPr>
      </w:pPr>
      <w:r w:rsidRPr="005A5D47">
        <w:rPr>
          <w:b/>
          <w:i/>
          <w:sz w:val="22"/>
        </w:rPr>
        <w:t>METRIC 3: ACTIVITIES TO ACHIEVE GOALS</w:t>
      </w:r>
    </w:p>
    <w:p w:rsidR="005A5D47" w:rsidRPr="0032547C" w:rsidRDefault="00F96BD6" w:rsidP="005A5D47">
      <w:pPr>
        <w:pStyle w:val="BodyText"/>
        <w:numPr>
          <w:ilvl w:val="0"/>
          <w:numId w:val="24"/>
        </w:numPr>
        <w:spacing w:before="1"/>
        <w:ind w:right="420"/>
        <w:rPr>
          <w:sz w:val="22"/>
          <w:u w:val="single"/>
        </w:rPr>
      </w:pPr>
      <w:r>
        <w:rPr>
          <w:sz w:val="22"/>
          <w:u w:val="single"/>
        </w:rPr>
        <w:t xml:space="preserve">Gatekeeper </w:t>
      </w:r>
      <w:r w:rsidR="005A5D47" w:rsidRPr="0032547C">
        <w:rPr>
          <w:sz w:val="22"/>
          <w:u w:val="single"/>
        </w:rPr>
        <w:t xml:space="preserve">Course embedded </w:t>
      </w:r>
      <w:r w:rsidR="00AE3C41" w:rsidRPr="0032547C">
        <w:rPr>
          <w:sz w:val="22"/>
          <w:u w:val="single"/>
        </w:rPr>
        <w:t>Tutoring</w:t>
      </w:r>
    </w:p>
    <w:p w:rsidR="00F96BD6" w:rsidRDefault="00F96BD6" w:rsidP="00004145">
      <w:pPr>
        <w:pStyle w:val="BodyText"/>
        <w:spacing w:before="1"/>
        <w:ind w:left="900" w:right="420"/>
        <w:rPr>
          <w:sz w:val="22"/>
        </w:rPr>
      </w:pPr>
      <w:r>
        <w:rPr>
          <w:sz w:val="22"/>
        </w:rPr>
        <w:t xml:space="preserve">Our Center for Academic Success </w:t>
      </w:r>
      <w:r w:rsidRPr="00F96BD6">
        <w:rPr>
          <w:sz w:val="22"/>
        </w:rPr>
        <w:t>is dedicated to empowering students to achieve academic success.</w:t>
      </w:r>
      <w:r>
        <w:rPr>
          <w:sz w:val="22"/>
        </w:rPr>
        <w:t xml:space="preserve"> It is the home of our tutoring center, where students can receive </w:t>
      </w:r>
      <w:r w:rsidR="00464E99">
        <w:rPr>
          <w:sz w:val="22"/>
        </w:rPr>
        <w:t xml:space="preserve">one-to-one tutoring, small group tutoring and workshops focused on academic and student success. It currently offers tutoring in over 20 subjects.  </w:t>
      </w:r>
    </w:p>
    <w:p w:rsidR="005A5D47" w:rsidRDefault="00DA1CBD" w:rsidP="00004145">
      <w:pPr>
        <w:pStyle w:val="BodyText"/>
        <w:spacing w:before="1"/>
        <w:ind w:left="900" w:right="420"/>
        <w:rPr>
          <w:sz w:val="22"/>
        </w:rPr>
      </w:pPr>
      <w:r>
        <w:rPr>
          <w:sz w:val="22"/>
        </w:rPr>
        <w:t xml:space="preserve">With the implementation of AB705 and </w:t>
      </w:r>
      <w:r w:rsidR="006B0BE6">
        <w:rPr>
          <w:sz w:val="22"/>
        </w:rPr>
        <w:t>de-emphasis of placement tests to determine</w:t>
      </w:r>
      <w:r>
        <w:rPr>
          <w:sz w:val="22"/>
        </w:rPr>
        <w:t xml:space="preserve"> which English and math </w:t>
      </w:r>
      <w:r w:rsidR="006B0BE6">
        <w:rPr>
          <w:sz w:val="22"/>
        </w:rPr>
        <w:t xml:space="preserve">students should enroll in, it’s </w:t>
      </w:r>
      <w:r w:rsidR="007B0CA6">
        <w:rPr>
          <w:sz w:val="22"/>
        </w:rPr>
        <w:t>certain</w:t>
      </w:r>
      <w:r w:rsidR="006B0BE6">
        <w:rPr>
          <w:sz w:val="22"/>
        </w:rPr>
        <w:t xml:space="preserve"> that Pierce College will have a significantly higher number of students enrolled in transfer-level math and English courses during their first year. Knowing this, our Center for </w:t>
      </w:r>
      <w:r w:rsidR="007B0CA6">
        <w:rPr>
          <w:sz w:val="22"/>
        </w:rPr>
        <w:t>Academic</w:t>
      </w:r>
      <w:r w:rsidR="006B0BE6">
        <w:rPr>
          <w:sz w:val="22"/>
        </w:rPr>
        <w:t xml:space="preserve"> Success (CAS) </w:t>
      </w:r>
      <w:r w:rsidR="00782525">
        <w:rPr>
          <w:sz w:val="22"/>
        </w:rPr>
        <w:t xml:space="preserve">is </w:t>
      </w:r>
      <w:r w:rsidR="006B0BE6">
        <w:rPr>
          <w:sz w:val="22"/>
        </w:rPr>
        <w:t>build</w:t>
      </w:r>
      <w:r w:rsidR="00782525">
        <w:rPr>
          <w:sz w:val="22"/>
        </w:rPr>
        <w:t>ing</w:t>
      </w:r>
      <w:r w:rsidR="006B0BE6">
        <w:rPr>
          <w:sz w:val="22"/>
        </w:rPr>
        <w:t xml:space="preserve"> on its existing program to help support the needs of these increased number of students. Equity resources will be used to increase the support in this area through general and course embedded tutoring. </w:t>
      </w:r>
      <w:r w:rsidR="00004145">
        <w:rPr>
          <w:sz w:val="22"/>
        </w:rPr>
        <w:t xml:space="preserve">To help streamline the process, the CAS will be hiring 2 additional faculty coordinators for math and English to help manage </w:t>
      </w:r>
      <w:r w:rsidR="0046352F">
        <w:rPr>
          <w:sz w:val="22"/>
        </w:rPr>
        <w:t xml:space="preserve">the </w:t>
      </w:r>
      <w:r w:rsidR="00004145">
        <w:rPr>
          <w:sz w:val="22"/>
        </w:rPr>
        <w:t xml:space="preserve">volume of students </w:t>
      </w:r>
      <w:r w:rsidR="0046352F">
        <w:rPr>
          <w:sz w:val="22"/>
        </w:rPr>
        <w:t xml:space="preserve">expected </w:t>
      </w:r>
      <w:r w:rsidR="00004145">
        <w:rPr>
          <w:sz w:val="22"/>
        </w:rPr>
        <w:t xml:space="preserve">to access </w:t>
      </w:r>
      <w:r w:rsidR="0046352F">
        <w:rPr>
          <w:sz w:val="22"/>
        </w:rPr>
        <w:t>tutoring</w:t>
      </w:r>
      <w:r w:rsidR="00004145">
        <w:rPr>
          <w:sz w:val="22"/>
        </w:rPr>
        <w:t xml:space="preserve">. </w:t>
      </w:r>
    </w:p>
    <w:p w:rsidR="005A5D47" w:rsidRPr="0032547C" w:rsidRDefault="005A5D47" w:rsidP="005A5D47">
      <w:pPr>
        <w:pStyle w:val="BodyText"/>
        <w:numPr>
          <w:ilvl w:val="0"/>
          <w:numId w:val="24"/>
        </w:numPr>
        <w:spacing w:before="1"/>
        <w:ind w:right="420"/>
        <w:rPr>
          <w:sz w:val="22"/>
          <w:u w:val="single"/>
        </w:rPr>
      </w:pPr>
      <w:r w:rsidRPr="0032547C">
        <w:rPr>
          <w:sz w:val="22"/>
          <w:u w:val="single"/>
        </w:rPr>
        <w:t>Writing Center</w:t>
      </w:r>
    </w:p>
    <w:p w:rsidR="00A53040" w:rsidRDefault="00004145" w:rsidP="00004145">
      <w:pPr>
        <w:pStyle w:val="BodyText"/>
        <w:spacing w:before="1"/>
        <w:ind w:left="900" w:right="420"/>
        <w:rPr>
          <w:sz w:val="22"/>
        </w:rPr>
      </w:pPr>
      <w:r>
        <w:rPr>
          <w:sz w:val="22"/>
        </w:rPr>
        <w:t xml:space="preserve">In Spring 2019, the CAS Writing Center opened its doors with the intent of hosting </w:t>
      </w:r>
      <w:r w:rsidRPr="00004145">
        <w:rPr>
          <w:sz w:val="22"/>
        </w:rPr>
        <w:t>faculty-led workshops related to student success in English 101</w:t>
      </w:r>
      <w:r>
        <w:rPr>
          <w:sz w:val="22"/>
        </w:rPr>
        <w:t>. Currently with limited hours, SEA resources will be dedicated to help staff th</w:t>
      </w:r>
      <w:r w:rsidR="00A53040">
        <w:rPr>
          <w:sz w:val="22"/>
        </w:rPr>
        <w:t xml:space="preserve">e lab with </w:t>
      </w:r>
      <w:r w:rsidR="002D0959">
        <w:rPr>
          <w:sz w:val="22"/>
        </w:rPr>
        <w:t>a faculty</w:t>
      </w:r>
      <w:r>
        <w:rPr>
          <w:sz w:val="22"/>
        </w:rPr>
        <w:t xml:space="preserve"> Writing Center Specialist. </w:t>
      </w:r>
    </w:p>
    <w:p w:rsidR="005A5D47" w:rsidRPr="0032547C" w:rsidRDefault="005A5D47" w:rsidP="005A5D47">
      <w:pPr>
        <w:pStyle w:val="BodyText"/>
        <w:numPr>
          <w:ilvl w:val="0"/>
          <w:numId w:val="24"/>
        </w:numPr>
        <w:spacing w:before="1"/>
        <w:ind w:right="420"/>
        <w:rPr>
          <w:sz w:val="22"/>
          <w:u w:val="single"/>
        </w:rPr>
      </w:pPr>
      <w:r w:rsidRPr="0032547C">
        <w:rPr>
          <w:sz w:val="22"/>
          <w:u w:val="single"/>
        </w:rPr>
        <w:t>Accessible Tutoring</w:t>
      </w:r>
    </w:p>
    <w:p w:rsidR="00782525" w:rsidRDefault="00782525" w:rsidP="00004145">
      <w:pPr>
        <w:pStyle w:val="BodyText"/>
        <w:spacing w:before="1"/>
        <w:ind w:left="900" w:right="420"/>
        <w:rPr>
          <w:sz w:val="22"/>
        </w:rPr>
      </w:pPr>
      <w:r>
        <w:rPr>
          <w:sz w:val="22"/>
        </w:rPr>
        <w:t xml:space="preserve">CAS continues to look for ways to ensure their services are accessible. This past year, Pierce College piloted having satellite tutoring services in various areas of campus, including our Umoja Village and </w:t>
      </w:r>
      <w:r w:rsidR="00A63A82">
        <w:rPr>
          <w:sz w:val="22"/>
        </w:rPr>
        <w:t>South</w:t>
      </w:r>
      <w:r>
        <w:rPr>
          <w:sz w:val="22"/>
        </w:rPr>
        <w:t xml:space="preserve"> Gym. </w:t>
      </w:r>
      <w:r w:rsidR="008D0614">
        <w:rPr>
          <w:sz w:val="22"/>
        </w:rPr>
        <w:t xml:space="preserve">The CAS will continue to </w:t>
      </w:r>
      <w:r>
        <w:rPr>
          <w:sz w:val="22"/>
        </w:rPr>
        <w:t>host math and English workshops, as well as provide specialized tutoring to our students registered at the Special Services office.</w:t>
      </w:r>
      <w:r w:rsidR="008D0614">
        <w:rPr>
          <w:sz w:val="22"/>
        </w:rPr>
        <w:t xml:space="preserve"> </w:t>
      </w:r>
      <w:r>
        <w:rPr>
          <w:sz w:val="22"/>
        </w:rPr>
        <w:t xml:space="preserve"> </w:t>
      </w:r>
      <w:r w:rsidR="00543A3A">
        <w:rPr>
          <w:sz w:val="22"/>
        </w:rPr>
        <w:t xml:space="preserve">A disability specialist will be hired to help facilitate specific workshops and student-focused activities for students registered with Special Services. </w:t>
      </w:r>
    </w:p>
    <w:p w:rsidR="005A5D47" w:rsidRPr="0032547C" w:rsidRDefault="005A5D47" w:rsidP="005A5D47">
      <w:pPr>
        <w:pStyle w:val="BodyText"/>
        <w:numPr>
          <w:ilvl w:val="0"/>
          <w:numId w:val="24"/>
        </w:numPr>
        <w:spacing w:before="1"/>
        <w:ind w:right="420"/>
        <w:rPr>
          <w:sz w:val="22"/>
          <w:u w:val="single"/>
        </w:rPr>
      </w:pPr>
      <w:r w:rsidRPr="0032547C">
        <w:rPr>
          <w:sz w:val="22"/>
          <w:u w:val="single"/>
        </w:rPr>
        <w:t>Professional Development</w:t>
      </w:r>
    </w:p>
    <w:p w:rsidR="00543A3A" w:rsidRDefault="005A5D47" w:rsidP="001315FB">
      <w:pPr>
        <w:pStyle w:val="BodyText"/>
        <w:spacing w:before="1"/>
        <w:ind w:left="900" w:right="420"/>
        <w:rPr>
          <w:sz w:val="22"/>
        </w:rPr>
      </w:pPr>
      <w:r>
        <w:rPr>
          <w:sz w:val="22"/>
        </w:rPr>
        <w:t>Implementation of AB705</w:t>
      </w:r>
      <w:r w:rsidR="002D0959">
        <w:rPr>
          <w:sz w:val="22"/>
        </w:rPr>
        <w:t xml:space="preserve"> pairs high expectation with high support and requires ongoing professional development, training and </w:t>
      </w:r>
      <w:r w:rsidR="00027A51">
        <w:rPr>
          <w:sz w:val="22"/>
        </w:rPr>
        <w:t>enrichment</w:t>
      </w:r>
      <w:r w:rsidR="002D0959">
        <w:rPr>
          <w:sz w:val="22"/>
        </w:rPr>
        <w:t xml:space="preserve"> to ensure that faculty have the tools necessary to support our students’ educational goals, and specifically success in completion of transfer-level math and English.</w:t>
      </w:r>
      <w:r w:rsidR="000326AD">
        <w:rPr>
          <w:sz w:val="22"/>
        </w:rPr>
        <w:t xml:space="preserve"> Much work has been done this past year to prepare for the full implementation of AB705; however, ongoing training and support is essential in successful implementation.</w:t>
      </w:r>
      <w:r w:rsidR="002D0959">
        <w:rPr>
          <w:sz w:val="22"/>
        </w:rPr>
        <w:t xml:space="preserve">  </w:t>
      </w:r>
      <w:r>
        <w:rPr>
          <w:sz w:val="22"/>
        </w:rPr>
        <w:t xml:space="preserve"> </w:t>
      </w:r>
      <w:r w:rsidR="002D0959">
        <w:rPr>
          <w:sz w:val="22"/>
        </w:rPr>
        <w:t>SEA resources will be utilized to support these efforts, as well as methods of p</w:t>
      </w:r>
      <w:r w:rsidR="00782525">
        <w:rPr>
          <w:sz w:val="22"/>
        </w:rPr>
        <w:t xml:space="preserve">romoting </w:t>
      </w:r>
      <w:r w:rsidR="002D0959">
        <w:rPr>
          <w:sz w:val="22"/>
        </w:rPr>
        <w:t>student supports and services throughout campus and online community.</w:t>
      </w:r>
    </w:p>
    <w:p w:rsidR="001315FB" w:rsidRDefault="001315FB">
      <w:pPr>
        <w:rPr>
          <w:szCs w:val="24"/>
        </w:rPr>
      </w:pPr>
      <w:r>
        <w:br w:type="page"/>
      </w:r>
    </w:p>
    <w:p w:rsidR="001315FB" w:rsidRDefault="001315FB" w:rsidP="001315FB">
      <w:pPr>
        <w:pStyle w:val="BodyText"/>
        <w:spacing w:before="1"/>
        <w:ind w:left="900" w:right="420"/>
        <w:rPr>
          <w:sz w:val="22"/>
        </w:rPr>
      </w:pPr>
    </w:p>
    <w:p w:rsidR="00AC5378" w:rsidRPr="00AC5378" w:rsidRDefault="00AC5378" w:rsidP="00004145">
      <w:pPr>
        <w:pStyle w:val="BodyText"/>
        <w:spacing w:before="1"/>
        <w:ind w:left="900" w:right="420"/>
        <w:rPr>
          <w:b/>
          <w:i/>
          <w:sz w:val="22"/>
        </w:rPr>
      </w:pPr>
      <w:r w:rsidRPr="00AC5378">
        <w:rPr>
          <w:b/>
          <w:i/>
          <w:sz w:val="22"/>
        </w:rPr>
        <w:t>METRIC 3: RESOURCES</w:t>
      </w:r>
    </w:p>
    <w:p w:rsidR="00027A51" w:rsidRDefault="00027A51" w:rsidP="00E25F2B">
      <w:pPr>
        <w:pStyle w:val="BodyText"/>
        <w:spacing w:before="1"/>
        <w:ind w:left="900"/>
        <w:rPr>
          <w:b/>
          <w:sz w:val="20"/>
        </w:rPr>
      </w:pPr>
    </w:p>
    <w:p w:rsidR="00965284" w:rsidRDefault="00027A51" w:rsidP="00E25F2B">
      <w:pPr>
        <w:pStyle w:val="BodyText"/>
        <w:spacing w:before="1"/>
        <w:ind w:left="900"/>
        <w:rPr>
          <w:rFonts w:asciiTheme="minorHAnsi" w:eastAsiaTheme="minorHAnsi" w:hAnsiTheme="minorHAnsi" w:cstheme="minorBidi"/>
          <w:sz w:val="22"/>
          <w:szCs w:val="22"/>
          <w:lang w:bidi="ar-SA"/>
        </w:rPr>
      </w:pPr>
      <w:bookmarkStart w:id="11" w:name="_Hlk8732186"/>
      <w:r w:rsidRPr="00A169CE">
        <w:rPr>
          <w:b/>
          <w:sz w:val="22"/>
        </w:rPr>
        <w:t>Table</w:t>
      </w:r>
      <w:r w:rsidR="00A169CE" w:rsidRPr="00A169CE">
        <w:rPr>
          <w:b/>
          <w:sz w:val="22"/>
        </w:rPr>
        <w:t xml:space="preserve"> 5.6</w:t>
      </w:r>
      <w:r w:rsidRPr="00A169CE">
        <w:rPr>
          <w:b/>
          <w:sz w:val="22"/>
        </w:rPr>
        <w:t xml:space="preserve">: Estimated SEA funding allocated to activities related to </w:t>
      </w:r>
      <w:bookmarkEnd w:id="11"/>
      <w:r w:rsidRPr="00A169CE">
        <w:rPr>
          <w:b/>
          <w:sz w:val="22"/>
        </w:rPr>
        <w:t>completion</w:t>
      </w:r>
      <w:r w:rsidR="00E213A1" w:rsidRPr="00A169CE">
        <w:rPr>
          <w:b/>
          <w:sz w:val="22"/>
        </w:rPr>
        <w:t xml:space="preserve"> of math and English</w:t>
      </w:r>
      <w:r w:rsidR="00E213A1">
        <w:rPr>
          <w:b/>
          <w:sz w:val="20"/>
        </w:rPr>
        <w:t xml:space="preserve"> </w:t>
      </w:r>
      <w:r>
        <w:t xml:space="preserve"> </w:t>
      </w:r>
      <w:r w:rsidR="00AC5378">
        <w:fldChar w:fldCharType="begin"/>
      </w:r>
      <w:r w:rsidR="00AC5378">
        <w:instrText xml:space="preserve"> LINK Excel.Sheet.12 "Book1" "Sheet1!R22C1:R30C3" \a \f 4 \h </w:instrText>
      </w:r>
      <w:r w:rsidR="00A72BF6">
        <w:instrText xml:space="preserve"> \* MERGEFORMAT </w:instrText>
      </w:r>
      <w:r w:rsidR="00AC5378">
        <w:fldChar w:fldCharType="separate"/>
      </w:r>
    </w:p>
    <w:tbl>
      <w:tblPr>
        <w:tblStyle w:val="TableGrid"/>
        <w:tblW w:w="8200" w:type="dxa"/>
        <w:tblInd w:w="835" w:type="dxa"/>
        <w:tblLook w:val="04A0" w:firstRow="1" w:lastRow="0" w:firstColumn="1" w:lastColumn="0" w:noHBand="0" w:noVBand="1"/>
        <w:tblCaption w:val="Estimated SEA funding allocated to activities related to completion of math and English  "/>
        <w:tblDescription w:val="Estimated SEA funding allocated to activities related to completion of math and English  "/>
      </w:tblPr>
      <w:tblGrid>
        <w:gridCol w:w="2700"/>
        <w:gridCol w:w="2800"/>
        <w:gridCol w:w="2700"/>
      </w:tblGrid>
      <w:tr w:rsidR="00965284" w:rsidRPr="00965284" w:rsidTr="00A72BF6">
        <w:trPr>
          <w:divId w:val="1932229180"/>
          <w:trHeight w:val="615"/>
        </w:trPr>
        <w:tc>
          <w:tcPr>
            <w:tcW w:w="2700" w:type="dxa"/>
            <w:hideMark/>
          </w:tcPr>
          <w:p w:rsidR="00965284" w:rsidRPr="00965284" w:rsidRDefault="00965284" w:rsidP="00965284">
            <w:pPr>
              <w:jc w:val="center"/>
              <w:rPr>
                <w:rFonts w:eastAsia="Times New Roman"/>
                <w:b/>
                <w:bCs/>
                <w:color w:val="000000"/>
                <w:lang w:bidi="ar-SA"/>
              </w:rPr>
            </w:pPr>
            <w:r w:rsidRPr="00965284">
              <w:rPr>
                <w:rFonts w:eastAsia="Times New Roman"/>
                <w:b/>
                <w:bCs/>
                <w:color w:val="000000"/>
                <w:lang w:bidi="ar-SA"/>
              </w:rPr>
              <w:t xml:space="preserve">Success Metric </w:t>
            </w:r>
          </w:p>
        </w:tc>
        <w:tc>
          <w:tcPr>
            <w:tcW w:w="2800" w:type="dxa"/>
            <w:hideMark/>
          </w:tcPr>
          <w:p w:rsidR="00965284" w:rsidRPr="00965284" w:rsidRDefault="00965284" w:rsidP="00965284">
            <w:pPr>
              <w:widowControl/>
              <w:autoSpaceDE/>
              <w:autoSpaceDN/>
              <w:jc w:val="center"/>
              <w:rPr>
                <w:rFonts w:eastAsia="Times New Roman"/>
                <w:b/>
                <w:bCs/>
                <w:color w:val="000000"/>
                <w:lang w:bidi="ar-SA"/>
              </w:rPr>
            </w:pPr>
            <w:r w:rsidRPr="00965284">
              <w:rPr>
                <w:rFonts w:eastAsia="Times New Roman"/>
                <w:b/>
                <w:bCs/>
                <w:color w:val="000000"/>
                <w:lang w:bidi="ar-SA"/>
              </w:rPr>
              <w:t>Activity</w:t>
            </w:r>
          </w:p>
        </w:tc>
        <w:tc>
          <w:tcPr>
            <w:tcW w:w="2700" w:type="dxa"/>
            <w:hideMark/>
          </w:tcPr>
          <w:p w:rsidR="00965284" w:rsidRPr="00965284" w:rsidRDefault="00965284" w:rsidP="00965284">
            <w:pPr>
              <w:widowControl/>
              <w:autoSpaceDE/>
              <w:autoSpaceDN/>
              <w:jc w:val="center"/>
              <w:rPr>
                <w:rFonts w:eastAsia="Times New Roman"/>
                <w:b/>
                <w:bCs/>
                <w:color w:val="000000"/>
                <w:lang w:bidi="ar-SA"/>
              </w:rPr>
            </w:pPr>
            <w:r w:rsidRPr="00965284">
              <w:rPr>
                <w:rFonts w:eastAsia="Times New Roman"/>
                <w:b/>
                <w:bCs/>
                <w:color w:val="000000"/>
                <w:lang w:bidi="ar-SA"/>
              </w:rPr>
              <w:t>Estimated 2019-2020 Expenditures</w:t>
            </w:r>
          </w:p>
        </w:tc>
      </w:tr>
      <w:tr w:rsidR="001E5159" w:rsidRPr="00965284" w:rsidTr="00A72BF6">
        <w:trPr>
          <w:divId w:val="1932229180"/>
          <w:trHeight w:val="600"/>
        </w:trPr>
        <w:tc>
          <w:tcPr>
            <w:tcW w:w="27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Completion of transfer-level math &amp; English</w:t>
            </w: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Gatekeeper Course-embedded Tutoring</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$490,000</w:t>
            </w:r>
          </w:p>
        </w:tc>
      </w:tr>
      <w:tr w:rsidR="001E5159" w:rsidRPr="00965284" w:rsidTr="00A72BF6">
        <w:trPr>
          <w:divId w:val="1932229180"/>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Writing Center</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$20,000</w:t>
            </w:r>
          </w:p>
        </w:tc>
      </w:tr>
      <w:tr w:rsidR="001E5159" w:rsidRPr="00965284" w:rsidTr="00A72BF6">
        <w:trPr>
          <w:divId w:val="1932229180"/>
          <w:trHeight w:val="9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AB705 English&amp; ESL supports: Passport to English, CET, Comm Café</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$173,200</w:t>
            </w:r>
          </w:p>
        </w:tc>
      </w:tr>
      <w:tr w:rsidR="001E5159" w:rsidRPr="00965284" w:rsidTr="00A72BF6">
        <w:trPr>
          <w:divId w:val="1932229180"/>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AB705 Math Supports:</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$150,000</w:t>
            </w:r>
          </w:p>
        </w:tc>
      </w:tr>
      <w:tr w:rsidR="001E5159" w:rsidRPr="00965284" w:rsidTr="00A72BF6">
        <w:trPr>
          <w:divId w:val="1932229180"/>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Professional Development</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$50,000</w:t>
            </w:r>
          </w:p>
        </w:tc>
      </w:tr>
      <w:tr w:rsidR="001E5159" w:rsidRPr="00965284" w:rsidTr="00A72BF6">
        <w:trPr>
          <w:divId w:val="1932229180"/>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Special Services</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$100,000</w:t>
            </w:r>
          </w:p>
        </w:tc>
      </w:tr>
      <w:tr w:rsidR="001E5159" w:rsidRPr="00965284" w:rsidTr="00A72BF6">
        <w:trPr>
          <w:divId w:val="1932229180"/>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Guardian Scholars</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$10,000</w:t>
            </w:r>
          </w:p>
        </w:tc>
      </w:tr>
      <w:tr w:rsidR="001E5159" w:rsidRPr="00965284" w:rsidTr="00A72BF6">
        <w:trPr>
          <w:divId w:val="1932229180"/>
          <w:trHeight w:val="315"/>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b/>
                <w:bCs/>
                <w:color w:val="000000"/>
                <w:lang w:bidi="ar-SA"/>
              </w:rPr>
            </w:pPr>
            <w:r w:rsidRPr="00965284">
              <w:rPr>
                <w:rFonts w:eastAsia="Times New Roman"/>
                <w:b/>
                <w:bCs/>
                <w:color w:val="000000"/>
                <w:lang w:bidi="ar-SA"/>
              </w:rPr>
              <w:t>Total</w:t>
            </w:r>
          </w:p>
        </w:tc>
        <w:tc>
          <w:tcPr>
            <w:tcW w:w="2700" w:type="dxa"/>
            <w:hideMark/>
          </w:tcPr>
          <w:p w:rsidR="001E5159" w:rsidRPr="00965284" w:rsidRDefault="001E5159" w:rsidP="00965284">
            <w:pPr>
              <w:widowControl/>
              <w:autoSpaceDE/>
              <w:autoSpaceDN/>
              <w:jc w:val="right"/>
              <w:rPr>
                <w:rFonts w:eastAsia="Times New Roman"/>
                <w:b/>
                <w:bCs/>
                <w:color w:val="000000"/>
                <w:lang w:bidi="ar-SA"/>
              </w:rPr>
            </w:pPr>
            <w:r w:rsidRPr="00965284">
              <w:rPr>
                <w:rFonts w:eastAsia="Times New Roman"/>
                <w:b/>
                <w:bCs/>
                <w:color w:val="000000"/>
                <w:lang w:bidi="ar-SA"/>
              </w:rPr>
              <w:t>$993,200</w:t>
            </w:r>
          </w:p>
        </w:tc>
      </w:tr>
    </w:tbl>
    <w:p w:rsidR="00A169CE" w:rsidRDefault="00AC5378" w:rsidP="001315FB">
      <w:pPr>
        <w:pStyle w:val="BodyText"/>
        <w:spacing w:before="1"/>
        <w:ind w:left="900"/>
        <w:rPr>
          <w:sz w:val="22"/>
        </w:rPr>
      </w:pPr>
      <w:r>
        <w:rPr>
          <w:sz w:val="22"/>
        </w:rPr>
        <w:fldChar w:fldCharType="end"/>
      </w:r>
    </w:p>
    <w:p w:rsidR="001315FB" w:rsidRPr="001315FB" w:rsidRDefault="001315FB" w:rsidP="001315FB">
      <w:pPr>
        <w:pStyle w:val="BodyText"/>
        <w:spacing w:before="1"/>
        <w:ind w:left="900"/>
        <w:rPr>
          <w:sz w:val="22"/>
        </w:rPr>
      </w:pPr>
    </w:p>
    <w:p w:rsidR="00744929" w:rsidRPr="00A169CE" w:rsidRDefault="00C02B08" w:rsidP="00E25F2B">
      <w:pPr>
        <w:pStyle w:val="BodyText"/>
        <w:spacing w:before="1"/>
        <w:ind w:left="900"/>
        <w:rPr>
          <w:b/>
          <w:i/>
          <w:sz w:val="22"/>
        </w:rPr>
      </w:pPr>
      <w:r w:rsidRPr="00A169CE">
        <w:rPr>
          <w:b/>
          <w:i/>
          <w:sz w:val="22"/>
        </w:rPr>
        <w:t xml:space="preserve">METRIC 4: </w:t>
      </w:r>
      <w:r w:rsidR="00744929" w:rsidRPr="00A169CE">
        <w:rPr>
          <w:b/>
          <w:i/>
          <w:sz w:val="22"/>
        </w:rPr>
        <w:t>ATTAINMENT OF DEGREES AND CERTIFICATES</w:t>
      </w:r>
    </w:p>
    <w:p w:rsidR="00C02B08" w:rsidRDefault="00C02B08" w:rsidP="00E25F2B">
      <w:pPr>
        <w:pStyle w:val="BodyText"/>
        <w:spacing w:before="1"/>
        <w:ind w:left="900"/>
        <w:rPr>
          <w:sz w:val="22"/>
        </w:rPr>
      </w:pPr>
      <w:r>
        <w:rPr>
          <w:sz w:val="22"/>
        </w:rPr>
        <w:t>This success metric refers to the number of state approved</w:t>
      </w:r>
      <w:r w:rsidR="00DA1CBD">
        <w:rPr>
          <w:sz w:val="22"/>
        </w:rPr>
        <w:t xml:space="preserve"> certificates</w:t>
      </w:r>
      <w:r>
        <w:rPr>
          <w:sz w:val="22"/>
        </w:rPr>
        <w:t xml:space="preserve"> of 18 units or more </w:t>
      </w:r>
      <w:r w:rsidR="00DA1CBD">
        <w:rPr>
          <w:sz w:val="22"/>
        </w:rPr>
        <w:t xml:space="preserve">or associate degrees awarded at Pierce College. The chart below reflects the data provided for Pierce College during the 2017-2018 academic year.  </w:t>
      </w:r>
      <w:r w:rsidR="002134BC">
        <w:rPr>
          <w:sz w:val="22"/>
        </w:rPr>
        <w:t>Of the 28,716 students enrolled, 1567 degrees and/or certificates were awarded, establishing a baseline of 5.5%.</w:t>
      </w:r>
    </w:p>
    <w:p w:rsidR="00DA1CBD" w:rsidRDefault="00DA1CBD" w:rsidP="00E25F2B">
      <w:pPr>
        <w:pStyle w:val="BodyText"/>
        <w:spacing w:before="1"/>
        <w:ind w:left="900"/>
        <w:rPr>
          <w:sz w:val="22"/>
        </w:rPr>
      </w:pPr>
    </w:p>
    <w:p w:rsidR="00DA1CBD" w:rsidRPr="00A169CE" w:rsidRDefault="00DA1CBD" w:rsidP="00E25F2B">
      <w:pPr>
        <w:pStyle w:val="BodyText"/>
        <w:spacing w:before="1"/>
        <w:ind w:left="900"/>
        <w:rPr>
          <w:b/>
          <w:sz w:val="22"/>
        </w:rPr>
      </w:pPr>
      <w:bookmarkStart w:id="12" w:name="_Hlk8124335"/>
      <w:r w:rsidRPr="00A169CE">
        <w:rPr>
          <w:b/>
          <w:sz w:val="22"/>
        </w:rPr>
        <w:t xml:space="preserve">Table </w:t>
      </w:r>
      <w:r w:rsidR="00A169CE" w:rsidRPr="00A169CE">
        <w:rPr>
          <w:b/>
          <w:sz w:val="22"/>
        </w:rPr>
        <w:t>5.7</w:t>
      </w:r>
      <w:r w:rsidRPr="00A169CE">
        <w:rPr>
          <w:b/>
          <w:sz w:val="22"/>
        </w:rPr>
        <w:t xml:space="preserve"> </w:t>
      </w:r>
      <w:r w:rsidR="00F00473" w:rsidRPr="00A169CE">
        <w:rPr>
          <w:b/>
          <w:sz w:val="22"/>
        </w:rPr>
        <w:t xml:space="preserve">Current success rates and proposed goals for Pierce College’s disproportionately impacted students in the area of </w:t>
      </w:r>
      <w:r w:rsidRPr="00A169CE">
        <w:rPr>
          <w:b/>
          <w:sz w:val="22"/>
        </w:rPr>
        <w:t>certificate and degree attainment</w:t>
      </w:r>
    </w:p>
    <w:tbl>
      <w:tblPr>
        <w:tblStyle w:val="TableGrid"/>
        <w:tblW w:w="0" w:type="auto"/>
        <w:tblInd w:w="452" w:type="dxa"/>
        <w:tblLayout w:type="fixed"/>
        <w:tblLook w:val="01E0" w:firstRow="1" w:lastRow="1" w:firstColumn="1" w:lastColumn="1" w:noHBand="0" w:noVBand="0"/>
        <w:tblCaption w:val="Current success rates and proposed goals for Pierce College’s disproportionately impacted students"/>
        <w:tblDescription w:val="Current success rates and proposed goals for Pierce College’s disproportionately impacted students"/>
      </w:tblPr>
      <w:tblGrid>
        <w:gridCol w:w="2944"/>
        <w:gridCol w:w="1710"/>
        <w:gridCol w:w="1710"/>
        <w:gridCol w:w="1710"/>
        <w:gridCol w:w="1800"/>
      </w:tblGrid>
      <w:tr w:rsidR="00F07FCD" w:rsidRPr="00E1143A" w:rsidTr="00530F23">
        <w:trPr>
          <w:trHeight w:val="299"/>
        </w:trPr>
        <w:tc>
          <w:tcPr>
            <w:tcW w:w="2944" w:type="dxa"/>
          </w:tcPr>
          <w:p w:rsidR="00F07FCD" w:rsidRPr="00E1143A" w:rsidRDefault="00F07FCD" w:rsidP="006B0BE6">
            <w:pPr>
              <w:spacing w:before="11"/>
              <w:ind w:left="153" w:right="141"/>
              <w:jc w:val="center"/>
              <w:rPr>
                <w:b/>
              </w:rPr>
            </w:pPr>
            <w:r>
              <w:rPr>
                <w:b/>
              </w:rPr>
              <w:t>Disproportionately Impacted</w:t>
            </w:r>
            <w:r w:rsidRPr="00E1143A">
              <w:rPr>
                <w:b/>
              </w:rPr>
              <w:t xml:space="preserve"> Student Groups</w:t>
            </w:r>
          </w:p>
        </w:tc>
        <w:tc>
          <w:tcPr>
            <w:tcW w:w="1710" w:type="dxa"/>
          </w:tcPr>
          <w:p w:rsidR="00F07FCD" w:rsidRDefault="00F07FCD" w:rsidP="006B0BE6">
            <w:pPr>
              <w:spacing w:before="11"/>
              <w:ind w:left="153" w:right="141"/>
              <w:jc w:val="center"/>
              <w:rPr>
                <w:b/>
              </w:rPr>
            </w:pPr>
            <w:r>
              <w:rPr>
                <w:b/>
              </w:rPr>
              <w:t>Cohort Count</w:t>
            </w:r>
          </w:p>
        </w:tc>
        <w:tc>
          <w:tcPr>
            <w:tcW w:w="1710" w:type="dxa"/>
          </w:tcPr>
          <w:p w:rsidR="00F07FCD" w:rsidRDefault="00F07FCD" w:rsidP="006B0BE6">
            <w:pPr>
              <w:spacing w:before="11"/>
              <w:ind w:left="153" w:right="141"/>
              <w:jc w:val="center"/>
              <w:rPr>
                <w:b/>
              </w:rPr>
            </w:pPr>
            <w:r>
              <w:rPr>
                <w:b/>
              </w:rPr>
              <w:t>Success Count</w:t>
            </w:r>
          </w:p>
        </w:tc>
        <w:tc>
          <w:tcPr>
            <w:tcW w:w="1710" w:type="dxa"/>
          </w:tcPr>
          <w:p w:rsidR="00F07FCD" w:rsidRDefault="00F07FCD" w:rsidP="006B0BE6">
            <w:pPr>
              <w:spacing w:before="11"/>
              <w:ind w:left="153" w:right="141"/>
              <w:jc w:val="center"/>
              <w:rPr>
                <w:b/>
              </w:rPr>
            </w:pPr>
            <w:r>
              <w:rPr>
                <w:b/>
              </w:rPr>
              <w:t>Current Success Rate</w:t>
            </w:r>
          </w:p>
        </w:tc>
        <w:tc>
          <w:tcPr>
            <w:tcW w:w="1800" w:type="dxa"/>
          </w:tcPr>
          <w:p w:rsidR="00F07FCD" w:rsidRDefault="00F07FCD" w:rsidP="006B0BE6">
            <w:pPr>
              <w:spacing w:before="11"/>
              <w:ind w:left="153" w:right="141"/>
              <w:jc w:val="center"/>
              <w:rPr>
                <w:b/>
              </w:rPr>
            </w:pPr>
            <w:r>
              <w:rPr>
                <w:b/>
              </w:rPr>
              <w:t>Goal</w:t>
            </w:r>
          </w:p>
        </w:tc>
      </w:tr>
      <w:tr w:rsidR="00F07FCD" w:rsidRPr="00E1143A" w:rsidTr="00530F23">
        <w:trPr>
          <w:trHeight w:val="299"/>
        </w:trPr>
        <w:tc>
          <w:tcPr>
            <w:tcW w:w="2944" w:type="dxa"/>
          </w:tcPr>
          <w:p w:rsidR="00F07FCD" w:rsidRDefault="00F07FCD" w:rsidP="006B0BE6">
            <w:pPr>
              <w:spacing w:before="13" w:line="266" w:lineRule="exact"/>
              <w:ind w:left="153" w:right="137"/>
            </w:pPr>
            <w:r>
              <w:t>Female American Indian or Alaska Native students</w:t>
            </w:r>
          </w:p>
          <w:p w:rsidR="00F07FCD" w:rsidRDefault="00F07FCD" w:rsidP="006B0BE6">
            <w:pPr>
              <w:spacing w:before="13" w:line="266" w:lineRule="exact"/>
              <w:ind w:left="153" w:right="137"/>
            </w:pPr>
          </w:p>
        </w:tc>
        <w:tc>
          <w:tcPr>
            <w:tcW w:w="1710" w:type="dxa"/>
          </w:tcPr>
          <w:p w:rsidR="00F07FCD" w:rsidRDefault="00F07FCD" w:rsidP="006B0BE6">
            <w:pPr>
              <w:spacing w:before="13" w:line="266" w:lineRule="exact"/>
              <w:ind w:left="153" w:right="137"/>
              <w:jc w:val="center"/>
            </w:pPr>
            <w:r>
              <w:t>26</w:t>
            </w:r>
          </w:p>
        </w:tc>
        <w:tc>
          <w:tcPr>
            <w:tcW w:w="1710" w:type="dxa"/>
          </w:tcPr>
          <w:p w:rsidR="00F07FCD" w:rsidRDefault="00F07FCD" w:rsidP="006B0BE6">
            <w:pPr>
              <w:spacing w:before="13" w:line="266" w:lineRule="exact"/>
              <w:ind w:left="153" w:right="137"/>
              <w:jc w:val="center"/>
            </w:pPr>
            <w:r>
              <w:t>0</w:t>
            </w:r>
          </w:p>
        </w:tc>
        <w:tc>
          <w:tcPr>
            <w:tcW w:w="1710" w:type="dxa"/>
          </w:tcPr>
          <w:p w:rsidR="00F07FCD" w:rsidRDefault="00F07FCD" w:rsidP="006B0BE6">
            <w:pPr>
              <w:spacing w:before="13" w:line="266" w:lineRule="exact"/>
              <w:ind w:left="153" w:right="137"/>
              <w:jc w:val="center"/>
            </w:pPr>
            <w:r>
              <w:t>0%</w:t>
            </w:r>
          </w:p>
        </w:tc>
        <w:tc>
          <w:tcPr>
            <w:tcW w:w="1800" w:type="dxa"/>
          </w:tcPr>
          <w:p w:rsidR="00F07FCD" w:rsidRDefault="00F07FCD" w:rsidP="006B0BE6">
            <w:pPr>
              <w:spacing w:before="13" w:line="266" w:lineRule="exact"/>
              <w:ind w:left="153" w:right="137"/>
              <w:jc w:val="center"/>
            </w:pPr>
            <w:r>
              <w:t>6%</w:t>
            </w:r>
          </w:p>
        </w:tc>
      </w:tr>
      <w:bookmarkEnd w:id="12"/>
      <w:tr w:rsidR="0076234C" w:rsidRPr="00E1143A" w:rsidTr="00530F23">
        <w:trPr>
          <w:trHeight w:val="299"/>
        </w:trPr>
        <w:tc>
          <w:tcPr>
            <w:tcW w:w="2944" w:type="dxa"/>
          </w:tcPr>
          <w:p w:rsidR="0076234C" w:rsidRDefault="0076234C" w:rsidP="006B0BE6">
            <w:pPr>
              <w:spacing w:before="13" w:line="266" w:lineRule="exact"/>
              <w:ind w:left="153" w:right="137"/>
            </w:pPr>
            <w:r>
              <w:t>Female student who identify as LGBTQ</w:t>
            </w:r>
          </w:p>
        </w:tc>
        <w:tc>
          <w:tcPr>
            <w:tcW w:w="1710" w:type="dxa"/>
          </w:tcPr>
          <w:p w:rsidR="0076234C" w:rsidRDefault="0076234C" w:rsidP="006B0BE6">
            <w:pPr>
              <w:spacing w:before="13" w:line="266" w:lineRule="exact"/>
              <w:ind w:left="153" w:right="137"/>
              <w:jc w:val="center"/>
            </w:pPr>
            <w:r>
              <w:t>527</w:t>
            </w:r>
          </w:p>
        </w:tc>
        <w:tc>
          <w:tcPr>
            <w:tcW w:w="1710" w:type="dxa"/>
          </w:tcPr>
          <w:p w:rsidR="0076234C" w:rsidRDefault="0076234C" w:rsidP="006B0BE6">
            <w:pPr>
              <w:spacing w:before="13" w:line="266" w:lineRule="exact"/>
              <w:ind w:left="153" w:right="137"/>
              <w:jc w:val="center"/>
            </w:pPr>
            <w:r>
              <w:t>20</w:t>
            </w:r>
          </w:p>
        </w:tc>
        <w:tc>
          <w:tcPr>
            <w:tcW w:w="1710" w:type="dxa"/>
          </w:tcPr>
          <w:p w:rsidR="0076234C" w:rsidRDefault="0076234C" w:rsidP="006B0BE6">
            <w:pPr>
              <w:spacing w:before="13" w:line="266" w:lineRule="exact"/>
              <w:ind w:left="153" w:right="137"/>
              <w:jc w:val="center"/>
            </w:pPr>
            <w:r>
              <w:t>3.8%</w:t>
            </w:r>
          </w:p>
        </w:tc>
        <w:tc>
          <w:tcPr>
            <w:tcW w:w="1800" w:type="dxa"/>
          </w:tcPr>
          <w:p w:rsidR="0076234C" w:rsidRDefault="0076234C" w:rsidP="006B0BE6">
            <w:pPr>
              <w:spacing w:before="13" w:line="266" w:lineRule="exact"/>
              <w:ind w:left="153" w:right="137"/>
              <w:jc w:val="center"/>
            </w:pPr>
            <w:r>
              <w:t>5.5</w:t>
            </w:r>
            <w:r w:rsidR="005E7B64">
              <w:t>%</w:t>
            </w:r>
          </w:p>
        </w:tc>
      </w:tr>
      <w:tr w:rsidR="00F07FCD" w:rsidRPr="00E1143A" w:rsidTr="00530F23">
        <w:trPr>
          <w:trHeight w:val="299"/>
        </w:trPr>
        <w:tc>
          <w:tcPr>
            <w:tcW w:w="2944" w:type="dxa"/>
          </w:tcPr>
          <w:p w:rsidR="00F07FCD" w:rsidRDefault="00F07FCD" w:rsidP="006B0BE6">
            <w:pPr>
              <w:spacing w:before="13" w:line="266" w:lineRule="exact"/>
              <w:ind w:left="153" w:right="137"/>
            </w:pPr>
            <w:r>
              <w:t>Male students who identify as LGBTQ</w:t>
            </w:r>
          </w:p>
        </w:tc>
        <w:tc>
          <w:tcPr>
            <w:tcW w:w="1710" w:type="dxa"/>
          </w:tcPr>
          <w:p w:rsidR="00F07FCD" w:rsidRDefault="00F07FCD" w:rsidP="006B0BE6">
            <w:pPr>
              <w:spacing w:before="13" w:line="266" w:lineRule="exact"/>
              <w:ind w:left="153" w:right="137"/>
              <w:jc w:val="center"/>
            </w:pPr>
            <w:r>
              <w:t>289</w:t>
            </w:r>
          </w:p>
        </w:tc>
        <w:tc>
          <w:tcPr>
            <w:tcW w:w="1710" w:type="dxa"/>
          </w:tcPr>
          <w:p w:rsidR="00F07FCD" w:rsidRDefault="00F07FCD" w:rsidP="006B0BE6">
            <w:pPr>
              <w:spacing w:before="13" w:line="266" w:lineRule="exact"/>
              <w:ind w:left="153" w:right="137"/>
              <w:jc w:val="center"/>
            </w:pPr>
            <w:r>
              <w:t>9</w:t>
            </w:r>
          </w:p>
        </w:tc>
        <w:tc>
          <w:tcPr>
            <w:tcW w:w="1710" w:type="dxa"/>
          </w:tcPr>
          <w:p w:rsidR="00F07FCD" w:rsidRDefault="00F07FCD" w:rsidP="006B0BE6">
            <w:pPr>
              <w:spacing w:before="13" w:line="266" w:lineRule="exact"/>
              <w:ind w:left="153" w:right="137"/>
              <w:jc w:val="center"/>
            </w:pPr>
            <w:r>
              <w:t>3.1</w:t>
            </w:r>
            <w:r w:rsidR="0076234C">
              <w:t>%</w:t>
            </w:r>
          </w:p>
        </w:tc>
        <w:tc>
          <w:tcPr>
            <w:tcW w:w="1800" w:type="dxa"/>
          </w:tcPr>
          <w:p w:rsidR="00F07FCD" w:rsidRDefault="0076234C" w:rsidP="006B0BE6">
            <w:pPr>
              <w:spacing w:before="13" w:line="266" w:lineRule="exact"/>
              <w:ind w:left="153" w:right="137"/>
              <w:jc w:val="center"/>
            </w:pPr>
            <w:r>
              <w:t>5.5%</w:t>
            </w:r>
          </w:p>
        </w:tc>
      </w:tr>
      <w:tr w:rsidR="0076234C" w:rsidRPr="00E1143A" w:rsidTr="00530F23">
        <w:trPr>
          <w:trHeight w:val="299"/>
        </w:trPr>
        <w:tc>
          <w:tcPr>
            <w:tcW w:w="2944" w:type="dxa"/>
          </w:tcPr>
          <w:p w:rsidR="0076234C" w:rsidRDefault="0076234C" w:rsidP="006B0BE6">
            <w:pPr>
              <w:spacing w:before="13" w:line="266" w:lineRule="exact"/>
              <w:ind w:left="153" w:right="137"/>
            </w:pPr>
            <w:r>
              <w:t>Male students who identify as Veteran</w:t>
            </w:r>
          </w:p>
        </w:tc>
        <w:tc>
          <w:tcPr>
            <w:tcW w:w="1710" w:type="dxa"/>
          </w:tcPr>
          <w:p w:rsidR="0076234C" w:rsidRDefault="00DA1CBD" w:rsidP="006B0BE6">
            <w:pPr>
              <w:spacing w:before="13" w:line="266" w:lineRule="exact"/>
              <w:ind w:left="153" w:right="137"/>
              <w:jc w:val="center"/>
            </w:pPr>
            <w:r>
              <w:t>517</w:t>
            </w:r>
          </w:p>
        </w:tc>
        <w:tc>
          <w:tcPr>
            <w:tcW w:w="1710" w:type="dxa"/>
          </w:tcPr>
          <w:p w:rsidR="0076234C" w:rsidRDefault="00DA1CBD" w:rsidP="006B0BE6">
            <w:pPr>
              <w:spacing w:before="13" w:line="266" w:lineRule="exact"/>
              <w:ind w:left="153" w:right="137"/>
              <w:jc w:val="center"/>
            </w:pPr>
            <w:r>
              <w:t>15</w:t>
            </w:r>
          </w:p>
        </w:tc>
        <w:tc>
          <w:tcPr>
            <w:tcW w:w="1710" w:type="dxa"/>
          </w:tcPr>
          <w:p w:rsidR="0076234C" w:rsidRDefault="00DA1CBD" w:rsidP="006B0BE6">
            <w:pPr>
              <w:spacing w:before="13" w:line="266" w:lineRule="exact"/>
              <w:ind w:left="153" w:right="137"/>
              <w:jc w:val="center"/>
            </w:pPr>
            <w:r>
              <w:t>2.9%</w:t>
            </w:r>
          </w:p>
        </w:tc>
        <w:tc>
          <w:tcPr>
            <w:tcW w:w="1800" w:type="dxa"/>
          </w:tcPr>
          <w:p w:rsidR="0076234C" w:rsidRDefault="00DA1CBD" w:rsidP="006B0BE6">
            <w:pPr>
              <w:spacing w:before="13" w:line="266" w:lineRule="exact"/>
              <w:ind w:left="153" w:right="137"/>
              <w:jc w:val="center"/>
            </w:pPr>
            <w:r>
              <w:t>5.6%</w:t>
            </w:r>
          </w:p>
        </w:tc>
      </w:tr>
    </w:tbl>
    <w:p w:rsidR="00744929" w:rsidRDefault="00744929" w:rsidP="00E25F2B">
      <w:pPr>
        <w:pStyle w:val="BodyText"/>
        <w:spacing w:before="1"/>
        <w:ind w:left="900"/>
        <w:rPr>
          <w:sz w:val="22"/>
        </w:rPr>
      </w:pPr>
    </w:p>
    <w:p w:rsidR="00DA1CBD" w:rsidRPr="00A169CE" w:rsidRDefault="00DA1CBD" w:rsidP="00E25F2B">
      <w:pPr>
        <w:pStyle w:val="BodyText"/>
        <w:spacing w:before="1"/>
        <w:ind w:left="900"/>
        <w:rPr>
          <w:b/>
          <w:i/>
          <w:sz w:val="22"/>
        </w:rPr>
      </w:pPr>
      <w:r w:rsidRPr="00A169CE">
        <w:rPr>
          <w:b/>
          <w:i/>
          <w:sz w:val="22"/>
        </w:rPr>
        <w:t>METRIC 4: ACTIVITIES TO ACHIEVE GOAL</w:t>
      </w:r>
    </w:p>
    <w:p w:rsidR="001352BD" w:rsidRPr="001352BD" w:rsidRDefault="001352BD" w:rsidP="001352BD">
      <w:pPr>
        <w:pStyle w:val="ListParagraph"/>
        <w:numPr>
          <w:ilvl w:val="0"/>
          <w:numId w:val="26"/>
        </w:numPr>
        <w:rPr>
          <w:u w:val="single"/>
        </w:rPr>
      </w:pPr>
      <w:r w:rsidRPr="001352BD">
        <w:rPr>
          <w:u w:val="single"/>
        </w:rPr>
        <w:t>Clarifying the path</w:t>
      </w:r>
    </w:p>
    <w:p w:rsidR="0032547C" w:rsidRPr="0032547C" w:rsidRDefault="0032547C" w:rsidP="0032547C">
      <w:pPr>
        <w:ind w:left="900"/>
        <w:rPr>
          <w:szCs w:val="24"/>
        </w:rPr>
      </w:pPr>
      <w:r>
        <w:t xml:space="preserve">Activities in this area will </w:t>
      </w:r>
      <w:r w:rsidR="001352BD">
        <w:t xml:space="preserve">focus on increasing </w:t>
      </w:r>
      <w:r w:rsidRPr="0032547C">
        <w:rPr>
          <w:szCs w:val="24"/>
        </w:rPr>
        <w:t xml:space="preserve">access to information to underserved students about degrees and certificates </w:t>
      </w:r>
      <w:r w:rsidR="001352BD">
        <w:rPr>
          <w:szCs w:val="24"/>
        </w:rPr>
        <w:t xml:space="preserve">offered by the college. This will require </w:t>
      </w:r>
      <w:r w:rsidRPr="0032547C">
        <w:rPr>
          <w:szCs w:val="24"/>
        </w:rPr>
        <w:t xml:space="preserve">by developing a plan to disseminate information </w:t>
      </w:r>
      <w:r w:rsidR="001352BD">
        <w:rPr>
          <w:szCs w:val="24"/>
        </w:rPr>
        <w:t>(</w:t>
      </w:r>
      <w:r w:rsidRPr="0032547C">
        <w:rPr>
          <w:szCs w:val="24"/>
        </w:rPr>
        <w:t>both online and in print</w:t>
      </w:r>
      <w:r w:rsidR="001352BD">
        <w:rPr>
          <w:szCs w:val="24"/>
        </w:rPr>
        <w:t>)</w:t>
      </w:r>
      <w:r w:rsidRPr="0032547C">
        <w:rPr>
          <w:szCs w:val="24"/>
        </w:rPr>
        <w:t xml:space="preserve"> pertaining to resources associated with degrees and certificates, including college resources, degree and certificate programs, financial aid information, and class schedules.</w:t>
      </w:r>
      <w:r w:rsidR="001352BD">
        <w:rPr>
          <w:szCs w:val="24"/>
        </w:rPr>
        <w:t xml:space="preserve"> Information provided may include tangible career opportunities related to specific degrees</w:t>
      </w:r>
      <w:r w:rsidR="00440B94">
        <w:rPr>
          <w:szCs w:val="24"/>
        </w:rPr>
        <w:t xml:space="preserve"> and labor market information</w:t>
      </w:r>
      <w:r w:rsidR="00543A3A">
        <w:rPr>
          <w:szCs w:val="24"/>
        </w:rPr>
        <w:t xml:space="preserve">. </w:t>
      </w:r>
    </w:p>
    <w:p w:rsidR="00F00473" w:rsidRDefault="00F00473" w:rsidP="0032547C">
      <w:pPr>
        <w:pStyle w:val="BodyText"/>
        <w:spacing w:before="1"/>
        <w:rPr>
          <w:sz w:val="22"/>
        </w:rPr>
      </w:pPr>
    </w:p>
    <w:p w:rsidR="001352BD" w:rsidRDefault="001352BD" w:rsidP="001352BD">
      <w:pPr>
        <w:pStyle w:val="BodyText"/>
        <w:numPr>
          <w:ilvl w:val="0"/>
          <w:numId w:val="26"/>
        </w:numPr>
        <w:spacing w:before="1"/>
        <w:rPr>
          <w:sz w:val="22"/>
          <w:u w:val="single"/>
        </w:rPr>
      </w:pPr>
      <w:r w:rsidRPr="001352BD">
        <w:rPr>
          <w:sz w:val="22"/>
          <w:u w:val="single"/>
        </w:rPr>
        <w:t>Streamlining the process</w:t>
      </w:r>
    </w:p>
    <w:p w:rsidR="00440B94" w:rsidRPr="00440B94" w:rsidRDefault="00543A3A" w:rsidP="00F00473">
      <w:pPr>
        <w:pStyle w:val="BodyText"/>
        <w:spacing w:before="1"/>
        <w:ind w:left="900"/>
        <w:rPr>
          <w:sz w:val="22"/>
        </w:rPr>
      </w:pPr>
      <w:r>
        <w:rPr>
          <w:sz w:val="22"/>
        </w:rPr>
        <w:t xml:space="preserve">As students are navigating their educational coursework while balancing campus life and personal commitments, it is imperative that the process for students to receive their certificates and degrees is streamlined and well communicated to the student. </w:t>
      </w:r>
      <w:r w:rsidR="00440B94">
        <w:rPr>
          <w:sz w:val="22"/>
        </w:rPr>
        <w:t xml:space="preserve">Increase access to information and timelines related to obtaining certificates and degrees. </w:t>
      </w:r>
    </w:p>
    <w:p w:rsidR="0032547C" w:rsidRDefault="0032547C" w:rsidP="0032547C">
      <w:pPr>
        <w:pStyle w:val="BodyText"/>
        <w:spacing w:before="1"/>
        <w:ind w:left="900"/>
        <w:rPr>
          <w:sz w:val="22"/>
        </w:rPr>
      </w:pPr>
    </w:p>
    <w:p w:rsidR="00DA1CBD" w:rsidRPr="0046352F" w:rsidRDefault="005A5D47" w:rsidP="001352BD">
      <w:pPr>
        <w:pStyle w:val="BodyText"/>
        <w:numPr>
          <w:ilvl w:val="0"/>
          <w:numId w:val="26"/>
        </w:numPr>
        <w:spacing w:before="1"/>
        <w:rPr>
          <w:sz w:val="22"/>
          <w:u w:val="single"/>
        </w:rPr>
      </w:pPr>
      <w:r w:rsidRPr="0046352F">
        <w:rPr>
          <w:sz w:val="22"/>
          <w:u w:val="single"/>
        </w:rPr>
        <w:t>Specialized Counseling</w:t>
      </w:r>
      <w:r w:rsidR="00440B94" w:rsidRPr="0046352F">
        <w:rPr>
          <w:sz w:val="22"/>
          <w:u w:val="single"/>
        </w:rPr>
        <w:t>/Advising</w:t>
      </w:r>
    </w:p>
    <w:p w:rsidR="0067386B" w:rsidRDefault="006D2958" w:rsidP="0067386B">
      <w:pPr>
        <w:pStyle w:val="BodyText"/>
        <w:spacing w:before="1"/>
        <w:ind w:left="900"/>
        <w:rPr>
          <w:sz w:val="22"/>
        </w:rPr>
      </w:pPr>
      <w:r>
        <w:rPr>
          <w:sz w:val="22"/>
        </w:rPr>
        <w:t xml:space="preserve">Pierce College continues to expand </w:t>
      </w:r>
      <w:r w:rsidRPr="006D2958">
        <w:rPr>
          <w:sz w:val="22"/>
        </w:rPr>
        <w:t>counseling services to include academic follow up services to Pierce student leaders</w:t>
      </w:r>
      <w:r>
        <w:rPr>
          <w:sz w:val="22"/>
        </w:rPr>
        <w:t>, students on probation with the goal of achieving their academic goals.</w:t>
      </w:r>
    </w:p>
    <w:p w:rsidR="001315FB" w:rsidRDefault="001315FB" w:rsidP="0067386B">
      <w:pPr>
        <w:pStyle w:val="BodyText"/>
        <w:spacing w:before="1"/>
        <w:ind w:left="900"/>
        <w:rPr>
          <w:sz w:val="22"/>
        </w:rPr>
      </w:pPr>
    </w:p>
    <w:p w:rsidR="005A5D47" w:rsidRPr="0046352F" w:rsidRDefault="005A5D47" w:rsidP="001352BD">
      <w:pPr>
        <w:pStyle w:val="BodyText"/>
        <w:numPr>
          <w:ilvl w:val="0"/>
          <w:numId w:val="26"/>
        </w:numPr>
        <w:spacing w:before="1"/>
        <w:rPr>
          <w:sz w:val="22"/>
          <w:u w:val="single"/>
        </w:rPr>
      </w:pPr>
      <w:r w:rsidRPr="0046352F">
        <w:rPr>
          <w:sz w:val="22"/>
          <w:u w:val="single"/>
        </w:rPr>
        <w:t xml:space="preserve">Increasing </w:t>
      </w:r>
      <w:r w:rsidR="00543A3A">
        <w:rPr>
          <w:sz w:val="22"/>
          <w:u w:val="single"/>
        </w:rPr>
        <w:t xml:space="preserve">work flow </w:t>
      </w:r>
      <w:r w:rsidRPr="0046352F">
        <w:rPr>
          <w:sz w:val="22"/>
          <w:u w:val="single"/>
        </w:rPr>
        <w:t>capacity</w:t>
      </w:r>
    </w:p>
    <w:p w:rsidR="006D2958" w:rsidRDefault="006F4A24" w:rsidP="001315FB">
      <w:pPr>
        <w:pStyle w:val="BodyText"/>
        <w:spacing w:before="1"/>
        <w:ind w:left="900"/>
        <w:rPr>
          <w:sz w:val="22"/>
        </w:rPr>
      </w:pPr>
      <w:r>
        <w:rPr>
          <w:sz w:val="22"/>
        </w:rPr>
        <w:t>Pierce College currently employs three Admissions &amp; Records Evaluation Technicians, whose role includes evaluating</w:t>
      </w:r>
      <w:r w:rsidRPr="006F4A24">
        <w:rPr>
          <w:sz w:val="22"/>
        </w:rPr>
        <w:t xml:space="preserve"> completion of graduation requirements</w:t>
      </w:r>
      <w:r>
        <w:rPr>
          <w:sz w:val="22"/>
        </w:rPr>
        <w:t xml:space="preserve"> and degree and/or certificate attainment. </w:t>
      </w:r>
      <w:r w:rsidRPr="006F4A24">
        <w:rPr>
          <w:sz w:val="22"/>
        </w:rPr>
        <w:t xml:space="preserve"> </w:t>
      </w:r>
      <w:r>
        <w:rPr>
          <w:sz w:val="22"/>
        </w:rPr>
        <w:t xml:space="preserve">This coming year, SEA resources will be used to help improve the work flow in this area by hiring </w:t>
      </w:r>
      <w:r w:rsidR="00F00473">
        <w:rPr>
          <w:sz w:val="22"/>
        </w:rPr>
        <w:t>one full time Admissions &amp; Records Evaluation Technician in this area.</w:t>
      </w:r>
    </w:p>
    <w:p w:rsidR="001315FB" w:rsidRDefault="001315FB" w:rsidP="001315FB">
      <w:pPr>
        <w:pStyle w:val="BodyText"/>
        <w:spacing w:before="1"/>
        <w:ind w:left="900"/>
        <w:rPr>
          <w:sz w:val="22"/>
        </w:rPr>
      </w:pPr>
    </w:p>
    <w:p w:rsidR="001315FB" w:rsidRPr="001315FB" w:rsidRDefault="001315FB" w:rsidP="001315FB">
      <w:pPr>
        <w:pStyle w:val="BodyText"/>
        <w:spacing w:before="1"/>
        <w:ind w:left="900"/>
        <w:rPr>
          <w:sz w:val="22"/>
        </w:rPr>
      </w:pPr>
    </w:p>
    <w:p w:rsidR="00AC5378" w:rsidRPr="00AC5378" w:rsidRDefault="00AC5378" w:rsidP="00E25F2B">
      <w:pPr>
        <w:pStyle w:val="BodyText"/>
        <w:spacing w:before="1"/>
        <w:ind w:left="900"/>
        <w:rPr>
          <w:b/>
          <w:i/>
          <w:sz w:val="22"/>
          <w:szCs w:val="22"/>
        </w:rPr>
      </w:pPr>
      <w:r w:rsidRPr="00AC5378">
        <w:rPr>
          <w:b/>
          <w:i/>
          <w:sz w:val="22"/>
          <w:szCs w:val="22"/>
        </w:rPr>
        <w:t>METRIC 4: RESOURCES</w:t>
      </w:r>
    </w:p>
    <w:p w:rsidR="006D2958" w:rsidRDefault="006D2958" w:rsidP="00E25F2B">
      <w:pPr>
        <w:pStyle w:val="BodyText"/>
        <w:spacing w:before="1"/>
        <w:ind w:left="900"/>
        <w:rPr>
          <w:b/>
          <w:sz w:val="22"/>
        </w:rPr>
      </w:pPr>
    </w:p>
    <w:p w:rsidR="00965284" w:rsidRDefault="006D2958" w:rsidP="00E25F2B">
      <w:pPr>
        <w:pStyle w:val="BodyText"/>
        <w:spacing w:before="1"/>
        <w:ind w:left="900"/>
        <w:rPr>
          <w:rFonts w:asciiTheme="minorHAnsi" w:eastAsiaTheme="minorHAnsi" w:hAnsiTheme="minorHAnsi" w:cstheme="minorBidi"/>
          <w:sz w:val="22"/>
          <w:szCs w:val="22"/>
          <w:lang w:bidi="ar-SA"/>
        </w:rPr>
      </w:pPr>
      <w:bookmarkStart w:id="13" w:name="_Hlk8732437"/>
      <w:r w:rsidRPr="00A169CE">
        <w:rPr>
          <w:b/>
          <w:sz w:val="22"/>
        </w:rPr>
        <w:t>Table 5.</w:t>
      </w:r>
      <w:r>
        <w:rPr>
          <w:b/>
          <w:sz w:val="22"/>
        </w:rPr>
        <w:t>8</w:t>
      </w:r>
      <w:r w:rsidRPr="00A169CE">
        <w:rPr>
          <w:b/>
          <w:sz w:val="22"/>
        </w:rPr>
        <w:t>: Estimated SEA funding allocated to activities related to</w:t>
      </w:r>
      <w:r>
        <w:rPr>
          <w:b/>
          <w:sz w:val="22"/>
        </w:rPr>
        <w:t xml:space="preserve"> </w:t>
      </w:r>
      <w:bookmarkEnd w:id="13"/>
      <w:r>
        <w:rPr>
          <w:b/>
          <w:sz w:val="22"/>
        </w:rPr>
        <w:t>certificate and degree attainment</w:t>
      </w:r>
      <w:r w:rsidRPr="00A169CE">
        <w:rPr>
          <w:b/>
          <w:sz w:val="22"/>
        </w:rPr>
        <w:t xml:space="preserve"> </w:t>
      </w:r>
      <w:r w:rsidR="00AC5378">
        <w:fldChar w:fldCharType="begin"/>
      </w:r>
      <w:r w:rsidR="00AC5378">
        <w:instrText xml:space="preserve"> LINK Excel.Sheet.12 "Book1" "Sheet1!R32C1:R38C3" \a \f 4 \h </w:instrText>
      </w:r>
      <w:r w:rsidR="00A72BF6">
        <w:instrText xml:space="preserve"> \* MERGEFORMAT </w:instrText>
      </w:r>
      <w:r w:rsidR="00AC5378">
        <w:fldChar w:fldCharType="separate"/>
      </w:r>
    </w:p>
    <w:tbl>
      <w:tblPr>
        <w:tblStyle w:val="TableGrid"/>
        <w:tblW w:w="8200" w:type="dxa"/>
        <w:tblInd w:w="865" w:type="dxa"/>
        <w:tblLook w:val="04A0" w:firstRow="1" w:lastRow="0" w:firstColumn="1" w:lastColumn="0" w:noHBand="0" w:noVBand="1"/>
        <w:tblCaption w:val="Estimated SEA funding allocated to activities related to certificate and degree attainment "/>
        <w:tblDescription w:val="Estimated SEA funding allocated to activities related to certificate and degree attainment "/>
      </w:tblPr>
      <w:tblGrid>
        <w:gridCol w:w="2700"/>
        <w:gridCol w:w="2800"/>
        <w:gridCol w:w="2700"/>
      </w:tblGrid>
      <w:tr w:rsidR="00965284" w:rsidRPr="00965284" w:rsidTr="00A72BF6">
        <w:trPr>
          <w:divId w:val="1168208207"/>
          <w:trHeight w:val="615"/>
        </w:trPr>
        <w:tc>
          <w:tcPr>
            <w:tcW w:w="2700" w:type="dxa"/>
            <w:hideMark/>
          </w:tcPr>
          <w:p w:rsidR="00965284" w:rsidRPr="00965284" w:rsidRDefault="00965284" w:rsidP="006D2958">
            <w:pPr>
              <w:widowControl/>
              <w:autoSpaceDE/>
              <w:autoSpaceDN/>
              <w:ind w:left="60"/>
              <w:jc w:val="center"/>
              <w:rPr>
                <w:rFonts w:eastAsia="Times New Roman"/>
                <w:b/>
                <w:bCs/>
                <w:color w:val="000000"/>
                <w:lang w:bidi="ar-SA"/>
              </w:rPr>
            </w:pPr>
            <w:r w:rsidRPr="00965284">
              <w:rPr>
                <w:rFonts w:eastAsia="Times New Roman"/>
                <w:b/>
                <w:bCs/>
                <w:color w:val="000000"/>
                <w:lang w:bidi="ar-SA"/>
              </w:rPr>
              <w:t xml:space="preserve">Success Metric </w:t>
            </w:r>
          </w:p>
        </w:tc>
        <w:tc>
          <w:tcPr>
            <w:tcW w:w="2800" w:type="dxa"/>
            <w:hideMark/>
          </w:tcPr>
          <w:p w:rsidR="00965284" w:rsidRPr="00965284" w:rsidRDefault="00965284" w:rsidP="00965284">
            <w:pPr>
              <w:widowControl/>
              <w:autoSpaceDE/>
              <w:autoSpaceDN/>
              <w:jc w:val="center"/>
              <w:rPr>
                <w:rFonts w:eastAsia="Times New Roman"/>
                <w:b/>
                <w:bCs/>
                <w:color w:val="000000"/>
                <w:lang w:bidi="ar-SA"/>
              </w:rPr>
            </w:pPr>
            <w:r w:rsidRPr="00965284">
              <w:rPr>
                <w:rFonts w:eastAsia="Times New Roman"/>
                <w:b/>
                <w:bCs/>
                <w:color w:val="000000"/>
                <w:lang w:bidi="ar-SA"/>
              </w:rPr>
              <w:t>Activity</w:t>
            </w:r>
          </w:p>
        </w:tc>
        <w:tc>
          <w:tcPr>
            <w:tcW w:w="2700" w:type="dxa"/>
            <w:hideMark/>
          </w:tcPr>
          <w:p w:rsidR="00965284" w:rsidRPr="00965284" w:rsidRDefault="00965284" w:rsidP="00965284">
            <w:pPr>
              <w:widowControl/>
              <w:autoSpaceDE/>
              <w:autoSpaceDN/>
              <w:jc w:val="center"/>
              <w:rPr>
                <w:rFonts w:eastAsia="Times New Roman"/>
                <w:b/>
                <w:bCs/>
                <w:color w:val="000000"/>
                <w:lang w:bidi="ar-SA"/>
              </w:rPr>
            </w:pPr>
            <w:r w:rsidRPr="00965284">
              <w:rPr>
                <w:rFonts w:eastAsia="Times New Roman"/>
                <w:b/>
                <w:bCs/>
                <w:color w:val="000000"/>
                <w:lang w:bidi="ar-SA"/>
              </w:rPr>
              <w:t>Estimated 2019-2020 Expenditures</w:t>
            </w:r>
          </w:p>
        </w:tc>
      </w:tr>
      <w:tr w:rsidR="001E5159" w:rsidRPr="00965284" w:rsidTr="00A72BF6">
        <w:trPr>
          <w:divId w:val="1168208207"/>
          <w:trHeight w:val="300"/>
        </w:trPr>
        <w:tc>
          <w:tcPr>
            <w:tcW w:w="27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Certificate and Degree Attainment</w:t>
            </w: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Graduation Technician</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$57,100</w:t>
            </w:r>
          </w:p>
        </w:tc>
      </w:tr>
      <w:tr w:rsidR="001E5159" w:rsidRPr="00965284" w:rsidTr="00A72BF6">
        <w:trPr>
          <w:divId w:val="1168208207"/>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Specialized Counseling</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$124,000</w:t>
            </w:r>
          </w:p>
        </w:tc>
      </w:tr>
      <w:tr w:rsidR="001E5159" w:rsidRPr="00965284" w:rsidTr="00A72BF6">
        <w:trPr>
          <w:divId w:val="1168208207"/>
          <w:trHeight w:val="6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 xml:space="preserve">Targeted events: Career/Job Fair, </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$50,000</w:t>
            </w:r>
          </w:p>
        </w:tc>
      </w:tr>
      <w:tr w:rsidR="001E5159" w:rsidRPr="00965284" w:rsidTr="00A72BF6">
        <w:trPr>
          <w:divId w:val="1168208207"/>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Printing and Advertising</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$35,000</w:t>
            </w:r>
          </w:p>
        </w:tc>
      </w:tr>
      <w:tr w:rsidR="001E5159" w:rsidRPr="00965284" w:rsidTr="00A72BF6">
        <w:trPr>
          <w:divId w:val="1168208207"/>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 xml:space="preserve">Veterans Services </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$10,000</w:t>
            </w:r>
          </w:p>
        </w:tc>
      </w:tr>
      <w:tr w:rsidR="001E5159" w:rsidRPr="00965284" w:rsidTr="00A72BF6">
        <w:trPr>
          <w:divId w:val="1168208207"/>
          <w:trHeight w:val="315"/>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b/>
                <w:bCs/>
                <w:color w:val="000000"/>
                <w:lang w:bidi="ar-SA"/>
              </w:rPr>
            </w:pPr>
            <w:r w:rsidRPr="00965284">
              <w:rPr>
                <w:rFonts w:eastAsia="Times New Roman"/>
                <w:b/>
                <w:bCs/>
                <w:color w:val="000000"/>
                <w:lang w:bidi="ar-SA"/>
              </w:rPr>
              <w:t>Total</w:t>
            </w:r>
          </w:p>
        </w:tc>
        <w:tc>
          <w:tcPr>
            <w:tcW w:w="2700" w:type="dxa"/>
            <w:hideMark/>
          </w:tcPr>
          <w:p w:rsidR="001E5159" w:rsidRPr="00965284" w:rsidRDefault="001E5159" w:rsidP="00965284">
            <w:pPr>
              <w:widowControl/>
              <w:autoSpaceDE/>
              <w:autoSpaceDN/>
              <w:jc w:val="right"/>
              <w:rPr>
                <w:rFonts w:eastAsia="Times New Roman"/>
                <w:b/>
                <w:bCs/>
                <w:color w:val="000000"/>
                <w:lang w:bidi="ar-SA"/>
              </w:rPr>
            </w:pPr>
            <w:r w:rsidRPr="00965284">
              <w:rPr>
                <w:rFonts w:eastAsia="Times New Roman"/>
                <w:b/>
                <w:bCs/>
                <w:color w:val="000000"/>
                <w:lang w:bidi="ar-SA"/>
              </w:rPr>
              <w:t>$276,100</w:t>
            </w:r>
          </w:p>
        </w:tc>
      </w:tr>
    </w:tbl>
    <w:p w:rsidR="0046352F" w:rsidRDefault="00AC5378" w:rsidP="00E25F2B">
      <w:pPr>
        <w:pStyle w:val="BodyText"/>
        <w:spacing w:before="1"/>
        <w:ind w:left="900"/>
        <w:rPr>
          <w:sz w:val="22"/>
        </w:rPr>
      </w:pPr>
      <w:r>
        <w:rPr>
          <w:sz w:val="22"/>
        </w:rPr>
        <w:fldChar w:fldCharType="end"/>
      </w:r>
    </w:p>
    <w:p w:rsidR="00846678" w:rsidRDefault="00846678">
      <w:pPr>
        <w:rPr>
          <w:szCs w:val="24"/>
        </w:rPr>
      </w:pPr>
      <w:r>
        <w:br w:type="page"/>
      </w:r>
    </w:p>
    <w:p w:rsidR="00C62B4D" w:rsidRDefault="00C62B4D" w:rsidP="00E25F2B">
      <w:pPr>
        <w:pStyle w:val="BodyText"/>
        <w:spacing w:before="1"/>
        <w:ind w:left="900"/>
        <w:rPr>
          <w:sz w:val="22"/>
        </w:rPr>
      </w:pPr>
    </w:p>
    <w:p w:rsidR="00744929" w:rsidRPr="006D2958" w:rsidRDefault="00A9401E" w:rsidP="00E25F2B">
      <w:pPr>
        <w:pStyle w:val="BodyText"/>
        <w:spacing w:before="1"/>
        <w:ind w:left="900"/>
        <w:rPr>
          <w:b/>
          <w:i/>
          <w:sz w:val="22"/>
        </w:rPr>
      </w:pPr>
      <w:r w:rsidRPr="006D2958">
        <w:rPr>
          <w:b/>
          <w:i/>
          <w:sz w:val="22"/>
        </w:rPr>
        <w:t xml:space="preserve">METRIC 5: </w:t>
      </w:r>
      <w:r w:rsidR="00744929" w:rsidRPr="006D2958">
        <w:rPr>
          <w:b/>
          <w:i/>
          <w:sz w:val="22"/>
        </w:rPr>
        <w:t>TRANSFER</w:t>
      </w:r>
      <w:r w:rsidRPr="006D2958">
        <w:rPr>
          <w:b/>
          <w:i/>
          <w:sz w:val="22"/>
        </w:rPr>
        <w:t xml:space="preserve"> TO A FOUR-YEAR INSTITUTION</w:t>
      </w:r>
      <w:r w:rsidR="00744929" w:rsidRPr="006D2958">
        <w:rPr>
          <w:b/>
          <w:i/>
          <w:sz w:val="22"/>
        </w:rPr>
        <w:t xml:space="preserve"> </w:t>
      </w:r>
    </w:p>
    <w:p w:rsidR="00846678" w:rsidRPr="00846678" w:rsidRDefault="00706164" w:rsidP="00846678">
      <w:pPr>
        <w:pStyle w:val="BodyText"/>
        <w:spacing w:before="1"/>
        <w:ind w:left="900"/>
      </w:pPr>
      <w:r>
        <w:rPr>
          <w:sz w:val="22"/>
        </w:rPr>
        <w:t xml:space="preserve">This success metric refers to the rate at which students are transferring to four-year institutions. </w:t>
      </w:r>
      <w:r w:rsidR="00A21C80">
        <w:rPr>
          <w:sz w:val="22"/>
        </w:rPr>
        <w:t xml:space="preserve">Based on the </w:t>
      </w:r>
      <w:r>
        <w:rPr>
          <w:sz w:val="22"/>
        </w:rPr>
        <w:t>data provided by CCCCO</w:t>
      </w:r>
      <w:r w:rsidR="00A9401E">
        <w:rPr>
          <w:sz w:val="22"/>
        </w:rPr>
        <w:t xml:space="preserve"> for the academic year 2016-17</w:t>
      </w:r>
      <w:r w:rsidR="00A21C80">
        <w:rPr>
          <w:sz w:val="22"/>
        </w:rPr>
        <w:t xml:space="preserve">, </w:t>
      </w:r>
      <w:r w:rsidR="00846678" w:rsidRPr="00846678">
        <w:t xml:space="preserve">2394 students transferred of 29970 student population, </w:t>
      </w:r>
      <w:r w:rsidR="00846678">
        <w:t xml:space="preserve">establishing an overall baseline of </w:t>
      </w:r>
      <w:r w:rsidR="00846678" w:rsidRPr="00846678">
        <w:t>8.0%</w:t>
      </w:r>
      <w:r w:rsidR="00846678">
        <w:t>. Listed below are the identified disproportionately impacted student groups in the area of transfer.</w:t>
      </w:r>
    </w:p>
    <w:p w:rsidR="0046352F" w:rsidRDefault="0046352F" w:rsidP="00F00473">
      <w:pPr>
        <w:pStyle w:val="BodyText"/>
        <w:spacing w:before="1"/>
        <w:ind w:left="900"/>
        <w:rPr>
          <w:sz w:val="22"/>
        </w:rPr>
      </w:pPr>
    </w:p>
    <w:p w:rsidR="00F00473" w:rsidRDefault="00F00473" w:rsidP="00F00473">
      <w:pPr>
        <w:pStyle w:val="BodyText"/>
        <w:spacing w:before="1"/>
        <w:ind w:left="900"/>
        <w:rPr>
          <w:b/>
          <w:sz w:val="22"/>
        </w:rPr>
      </w:pPr>
      <w:r w:rsidRPr="006D2958">
        <w:rPr>
          <w:b/>
          <w:sz w:val="22"/>
        </w:rPr>
        <w:t xml:space="preserve">Table </w:t>
      </w:r>
      <w:r w:rsidR="006D2958" w:rsidRPr="006D2958">
        <w:rPr>
          <w:b/>
          <w:sz w:val="22"/>
        </w:rPr>
        <w:t>5.9</w:t>
      </w:r>
      <w:r w:rsidRPr="006D2958">
        <w:rPr>
          <w:b/>
          <w:sz w:val="22"/>
        </w:rPr>
        <w:t xml:space="preserve"> Current success rates and proposed goals for Pierce College’s disproportionately impacted students in the area of transfer</w:t>
      </w:r>
    </w:p>
    <w:tbl>
      <w:tblPr>
        <w:tblStyle w:val="TableGrid"/>
        <w:tblW w:w="9450" w:type="dxa"/>
        <w:jc w:val="center"/>
        <w:tblLayout w:type="fixed"/>
        <w:tblLook w:val="01E0" w:firstRow="1" w:lastRow="1" w:firstColumn="1" w:lastColumn="1" w:noHBand="0" w:noVBand="0"/>
        <w:tblCaption w:val="Current success rates and proposed goals for Pierce College’s disproportionately impacted students in the area of transfer"/>
        <w:tblDescription w:val="Current success rates and proposed goals for Pierce College’s disproportionately impacted students in the area of transfer"/>
      </w:tblPr>
      <w:tblGrid>
        <w:gridCol w:w="2250"/>
        <w:gridCol w:w="1440"/>
        <w:gridCol w:w="1440"/>
        <w:gridCol w:w="1440"/>
        <w:gridCol w:w="1440"/>
        <w:gridCol w:w="1440"/>
      </w:tblGrid>
      <w:tr w:rsidR="00A72BF6" w:rsidRPr="00E1143A" w:rsidTr="00F41A2D">
        <w:trPr>
          <w:trHeight w:val="299"/>
          <w:jc w:val="center"/>
        </w:trPr>
        <w:tc>
          <w:tcPr>
            <w:tcW w:w="2250" w:type="dxa"/>
          </w:tcPr>
          <w:p w:rsidR="00A72BF6" w:rsidRPr="00E1143A" w:rsidRDefault="00A72BF6" w:rsidP="00F41A2D">
            <w:pPr>
              <w:spacing w:before="11"/>
              <w:ind w:left="60" w:right="141"/>
              <w:jc w:val="center"/>
              <w:rPr>
                <w:b/>
              </w:rPr>
            </w:pPr>
            <w:r>
              <w:rPr>
                <w:b/>
              </w:rPr>
              <w:t>Disproportionately Impacted</w:t>
            </w:r>
            <w:r w:rsidRPr="00E1143A">
              <w:rPr>
                <w:b/>
              </w:rPr>
              <w:t xml:space="preserve"> Student Groups</w:t>
            </w:r>
          </w:p>
        </w:tc>
        <w:tc>
          <w:tcPr>
            <w:tcW w:w="1440" w:type="dxa"/>
          </w:tcPr>
          <w:p w:rsidR="00A72BF6" w:rsidRDefault="00A72BF6" w:rsidP="00F41A2D">
            <w:pPr>
              <w:spacing w:before="11"/>
              <w:ind w:left="60" w:right="141"/>
              <w:jc w:val="center"/>
              <w:rPr>
                <w:b/>
              </w:rPr>
            </w:pPr>
            <w:r>
              <w:rPr>
                <w:b/>
              </w:rPr>
              <w:t>Cohort Count</w:t>
            </w:r>
          </w:p>
        </w:tc>
        <w:tc>
          <w:tcPr>
            <w:tcW w:w="1440" w:type="dxa"/>
          </w:tcPr>
          <w:p w:rsidR="00A72BF6" w:rsidRDefault="00A72BF6" w:rsidP="00F41A2D">
            <w:pPr>
              <w:spacing w:before="11"/>
              <w:ind w:left="60" w:right="141"/>
              <w:jc w:val="center"/>
              <w:rPr>
                <w:b/>
              </w:rPr>
            </w:pPr>
            <w:r>
              <w:rPr>
                <w:b/>
              </w:rPr>
              <w:t>Success Count</w:t>
            </w:r>
          </w:p>
        </w:tc>
        <w:tc>
          <w:tcPr>
            <w:tcW w:w="1440" w:type="dxa"/>
          </w:tcPr>
          <w:p w:rsidR="00A72BF6" w:rsidRDefault="00A72BF6" w:rsidP="00F41A2D">
            <w:pPr>
              <w:spacing w:before="11"/>
              <w:ind w:left="60" w:right="141"/>
              <w:jc w:val="center"/>
              <w:rPr>
                <w:b/>
              </w:rPr>
            </w:pPr>
            <w:r>
              <w:rPr>
                <w:b/>
              </w:rPr>
              <w:t>Current Success Rate</w:t>
            </w:r>
          </w:p>
        </w:tc>
        <w:tc>
          <w:tcPr>
            <w:tcW w:w="1440" w:type="dxa"/>
          </w:tcPr>
          <w:p w:rsidR="00A72BF6" w:rsidRDefault="00A72BF6" w:rsidP="00F41A2D">
            <w:pPr>
              <w:spacing w:before="11"/>
              <w:ind w:left="60" w:right="141"/>
              <w:jc w:val="center"/>
              <w:rPr>
                <w:b/>
              </w:rPr>
            </w:pPr>
            <w:r>
              <w:rPr>
                <w:b/>
              </w:rPr>
              <w:t>Success Count Goal</w:t>
            </w:r>
          </w:p>
        </w:tc>
        <w:tc>
          <w:tcPr>
            <w:tcW w:w="1440" w:type="dxa"/>
          </w:tcPr>
          <w:p w:rsidR="00A72BF6" w:rsidRDefault="00A72BF6" w:rsidP="00F41A2D">
            <w:pPr>
              <w:spacing w:before="11"/>
              <w:ind w:left="60" w:right="141"/>
              <w:jc w:val="center"/>
              <w:rPr>
                <w:b/>
              </w:rPr>
            </w:pPr>
            <w:r>
              <w:rPr>
                <w:b/>
              </w:rPr>
              <w:t>Success Rate Goal</w:t>
            </w:r>
          </w:p>
        </w:tc>
      </w:tr>
      <w:tr w:rsidR="00A72BF6" w:rsidRPr="00E1143A" w:rsidTr="00F41A2D">
        <w:trPr>
          <w:trHeight w:val="299"/>
          <w:jc w:val="center"/>
        </w:trPr>
        <w:tc>
          <w:tcPr>
            <w:tcW w:w="2250" w:type="dxa"/>
          </w:tcPr>
          <w:p w:rsidR="00A72BF6" w:rsidRDefault="00A72BF6" w:rsidP="00F41A2D">
            <w:pPr>
              <w:spacing w:before="13" w:line="266" w:lineRule="exact"/>
              <w:ind w:left="60" w:right="137"/>
            </w:pPr>
            <w:r>
              <w:t>Female students who identify as foster youth</w:t>
            </w:r>
          </w:p>
          <w:p w:rsidR="00A72BF6" w:rsidRDefault="00A72BF6" w:rsidP="00F41A2D">
            <w:pPr>
              <w:spacing w:before="13" w:line="266" w:lineRule="exact"/>
              <w:ind w:left="60" w:right="137"/>
            </w:pPr>
          </w:p>
        </w:tc>
        <w:tc>
          <w:tcPr>
            <w:tcW w:w="1440" w:type="dxa"/>
          </w:tcPr>
          <w:p w:rsidR="00A72BF6" w:rsidRDefault="00A72BF6" w:rsidP="00F41A2D">
            <w:pPr>
              <w:spacing w:before="13" w:line="266" w:lineRule="exact"/>
              <w:ind w:left="60" w:right="137"/>
              <w:jc w:val="center"/>
            </w:pPr>
            <w:r>
              <w:t>307</w:t>
            </w:r>
          </w:p>
        </w:tc>
        <w:tc>
          <w:tcPr>
            <w:tcW w:w="1440" w:type="dxa"/>
          </w:tcPr>
          <w:p w:rsidR="00A72BF6" w:rsidRDefault="00A72BF6" w:rsidP="00F41A2D">
            <w:pPr>
              <w:spacing w:before="13" w:line="266" w:lineRule="exact"/>
              <w:ind w:left="60" w:right="137"/>
              <w:jc w:val="center"/>
            </w:pPr>
            <w:r>
              <w:t>15</w:t>
            </w:r>
          </w:p>
        </w:tc>
        <w:tc>
          <w:tcPr>
            <w:tcW w:w="1440" w:type="dxa"/>
          </w:tcPr>
          <w:p w:rsidR="00A72BF6" w:rsidRDefault="00A72BF6" w:rsidP="00F41A2D">
            <w:pPr>
              <w:spacing w:before="13" w:line="266" w:lineRule="exact"/>
              <w:ind w:left="60" w:right="137"/>
              <w:jc w:val="center"/>
            </w:pPr>
            <w:r>
              <w:t>4.9%</w:t>
            </w:r>
          </w:p>
        </w:tc>
        <w:tc>
          <w:tcPr>
            <w:tcW w:w="1440" w:type="dxa"/>
          </w:tcPr>
          <w:p w:rsidR="00A72BF6" w:rsidRDefault="00A72BF6" w:rsidP="00F41A2D">
            <w:pPr>
              <w:spacing w:before="13" w:line="266" w:lineRule="exact"/>
              <w:ind w:left="60" w:right="137"/>
              <w:jc w:val="center"/>
            </w:pPr>
          </w:p>
          <w:p w:rsidR="00A72BF6" w:rsidRDefault="00A72BF6" w:rsidP="00F41A2D">
            <w:pPr>
              <w:spacing w:before="13" w:line="266" w:lineRule="exact"/>
              <w:ind w:left="60" w:right="137"/>
              <w:jc w:val="center"/>
            </w:pPr>
            <w:r>
              <w:t>25</w:t>
            </w:r>
          </w:p>
        </w:tc>
        <w:tc>
          <w:tcPr>
            <w:tcW w:w="1440" w:type="dxa"/>
          </w:tcPr>
          <w:p w:rsidR="00A72BF6" w:rsidRDefault="00A72BF6" w:rsidP="00F41A2D">
            <w:pPr>
              <w:spacing w:before="13" w:line="266" w:lineRule="exact"/>
              <w:ind w:left="60" w:right="137"/>
              <w:jc w:val="center"/>
            </w:pPr>
            <w:r>
              <w:t>8%</w:t>
            </w:r>
          </w:p>
        </w:tc>
      </w:tr>
      <w:tr w:rsidR="00A72BF6" w:rsidRPr="00E1143A" w:rsidTr="00F41A2D">
        <w:trPr>
          <w:trHeight w:val="299"/>
          <w:jc w:val="center"/>
        </w:trPr>
        <w:tc>
          <w:tcPr>
            <w:tcW w:w="2250" w:type="dxa"/>
          </w:tcPr>
          <w:p w:rsidR="00A72BF6" w:rsidRDefault="00A72BF6" w:rsidP="00F41A2D">
            <w:pPr>
              <w:spacing w:before="13" w:line="266" w:lineRule="exact"/>
              <w:ind w:left="60" w:right="137"/>
            </w:pPr>
            <w:r>
              <w:t>Male students who identify as foster youth</w:t>
            </w:r>
          </w:p>
          <w:p w:rsidR="00A72BF6" w:rsidRDefault="00A72BF6" w:rsidP="00F41A2D">
            <w:pPr>
              <w:spacing w:before="13" w:line="266" w:lineRule="exact"/>
              <w:ind w:left="60" w:right="137"/>
            </w:pPr>
          </w:p>
        </w:tc>
        <w:tc>
          <w:tcPr>
            <w:tcW w:w="1440" w:type="dxa"/>
          </w:tcPr>
          <w:p w:rsidR="00A72BF6" w:rsidRDefault="00A72BF6" w:rsidP="00F41A2D">
            <w:pPr>
              <w:spacing w:before="13" w:line="266" w:lineRule="exact"/>
              <w:ind w:left="60" w:right="137"/>
              <w:jc w:val="center"/>
            </w:pPr>
            <w:r>
              <w:t>213</w:t>
            </w:r>
          </w:p>
        </w:tc>
        <w:tc>
          <w:tcPr>
            <w:tcW w:w="1440" w:type="dxa"/>
          </w:tcPr>
          <w:p w:rsidR="00A72BF6" w:rsidRDefault="00A72BF6" w:rsidP="00F41A2D">
            <w:pPr>
              <w:spacing w:before="13" w:line="266" w:lineRule="exact"/>
              <w:ind w:left="60" w:right="137"/>
              <w:jc w:val="center"/>
            </w:pPr>
            <w:r>
              <w:t>10</w:t>
            </w:r>
          </w:p>
        </w:tc>
        <w:tc>
          <w:tcPr>
            <w:tcW w:w="1440" w:type="dxa"/>
          </w:tcPr>
          <w:p w:rsidR="00A72BF6" w:rsidRDefault="00A72BF6" w:rsidP="00F41A2D">
            <w:pPr>
              <w:spacing w:before="13" w:line="266" w:lineRule="exact"/>
              <w:ind w:left="60" w:right="137"/>
              <w:jc w:val="center"/>
            </w:pPr>
            <w:r>
              <w:t>4.7%</w:t>
            </w:r>
          </w:p>
        </w:tc>
        <w:tc>
          <w:tcPr>
            <w:tcW w:w="1440" w:type="dxa"/>
          </w:tcPr>
          <w:p w:rsidR="00A72BF6" w:rsidRDefault="00A72BF6" w:rsidP="00F41A2D">
            <w:pPr>
              <w:spacing w:before="13" w:line="266" w:lineRule="exact"/>
              <w:ind w:left="60" w:right="137"/>
              <w:jc w:val="center"/>
            </w:pPr>
          </w:p>
          <w:p w:rsidR="00A72BF6" w:rsidRDefault="00A72BF6" w:rsidP="00F41A2D">
            <w:pPr>
              <w:spacing w:before="13" w:line="266" w:lineRule="exact"/>
              <w:ind w:left="60" w:right="137"/>
              <w:jc w:val="center"/>
            </w:pPr>
            <w:r>
              <w:t>17</w:t>
            </w:r>
          </w:p>
        </w:tc>
        <w:tc>
          <w:tcPr>
            <w:tcW w:w="1440" w:type="dxa"/>
          </w:tcPr>
          <w:p w:rsidR="00A72BF6" w:rsidRDefault="00A72BF6" w:rsidP="00F41A2D">
            <w:pPr>
              <w:spacing w:before="13" w:line="266" w:lineRule="exact"/>
              <w:ind w:left="60" w:right="137"/>
              <w:jc w:val="center"/>
            </w:pPr>
            <w:r>
              <w:t>8%</w:t>
            </w:r>
          </w:p>
        </w:tc>
      </w:tr>
      <w:tr w:rsidR="00A72BF6" w:rsidRPr="00E1143A" w:rsidTr="00F41A2D">
        <w:trPr>
          <w:trHeight w:val="299"/>
          <w:jc w:val="center"/>
        </w:trPr>
        <w:tc>
          <w:tcPr>
            <w:tcW w:w="2250" w:type="dxa"/>
          </w:tcPr>
          <w:p w:rsidR="00A72BF6" w:rsidRDefault="00A72BF6" w:rsidP="00F41A2D">
            <w:pPr>
              <w:spacing w:before="13" w:line="266" w:lineRule="exact"/>
              <w:ind w:left="60" w:right="137"/>
            </w:pPr>
            <w:r>
              <w:t>Female students who identify as LGBTQ</w:t>
            </w:r>
          </w:p>
          <w:p w:rsidR="00A72BF6" w:rsidRDefault="00A72BF6" w:rsidP="00F41A2D">
            <w:pPr>
              <w:spacing w:before="13" w:line="266" w:lineRule="exact"/>
              <w:ind w:left="60" w:right="137"/>
            </w:pPr>
          </w:p>
        </w:tc>
        <w:tc>
          <w:tcPr>
            <w:tcW w:w="1440" w:type="dxa"/>
          </w:tcPr>
          <w:p w:rsidR="00A72BF6" w:rsidRDefault="00A72BF6" w:rsidP="00F41A2D">
            <w:pPr>
              <w:spacing w:before="13" w:line="266" w:lineRule="exact"/>
              <w:ind w:left="60" w:right="137"/>
              <w:jc w:val="center"/>
            </w:pPr>
            <w:r>
              <w:t>438</w:t>
            </w:r>
          </w:p>
        </w:tc>
        <w:tc>
          <w:tcPr>
            <w:tcW w:w="1440" w:type="dxa"/>
          </w:tcPr>
          <w:p w:rsidR="00A72BF6" w:rsidRDefault="00A72BF6" w:rsidP="00F41A2D">
            <w:pPr>
              <w:spacing w:before="13" w:line="266" w:lineRule="exact"/>
              <w:ind w:left="60" w:right="137"/>
              <w:jc w:val="center"/>
            </w:pPr>
            <w:r>
              <w:t>25</w:t>
            </w:r>
          </w:p>
        </w:tc>
        <w:tc>
          <w:tcPr>
            <w:tcW w:w="1440" w:type="dxa"/>
          </w:tcPr>
          <w:p w:rsidR="00A72BF6" w:rsidRDefault="00A72BF6" w:rsidP="00F41A2D">
            <w:pPr>
              <w:spacing w:before="13" w:line="266" w:lineRule="exact"/>
              <w:ind w:left="60" w:right="137"/>
              <w:jc w:val="center"/>
            </w:pPr>
            <w:r>
              <w:t>5.7%</w:t>
            </w:r>
          </w:p>
        </w:tc>
        <w:tc>
          <w:tcPr>
            <w:tcW w:w="1440" w:type="dxa"/>
          </w:tcPr>
          <w:p w:rsidR="00A72BF6" w:rsidRDefault="00A72BF6" w:rsidP="00F41A2D">
            <w:pPr>
              <w:spacing w:before="13" w:line="266" w:lineRule="exact"/>
              <w:ind w:left="60" w:right="137"/>
              <w:jc w:val="center"/>
            </w:pPr>
          </w:p>
          <w:p w:rsidR="00A72BF6" w:rsidRDefault="00A72BF6" w:rsidP="00F41A2D">
            <w:pPr>
              <w:spacing w:before="13" w:line="266" w:lineRule="exact"/>
              <w:ind w:left="60" w:right="137"/>
              <w:jc w:val="center"/>
            </w:pPr>
            <w:r>
              <w:t>35</w:t>
            </w:r>
          </w:p>
        </w:tc>
        <w:tc>
          <w:tcPr>
            <w:tcW w:w="1440" w:type="dxa"/>
          </w:tcPr>
          <w:p w:rsidR="00A72BF6" w:rsidRDefault="00A72BF6" w:rsidP="00F41A2D">
            <w:pPr>
              <w:spacing w:before="13" w:line="266" w:lineRule="exact"/>
              <w:ind w:left="60" w:right="137"/>
              <w:jc w:val="center"/>
            </w:pPr>
            <w:r>
              <w:t>8%</w:t>
            </w:r>
          </w:p>
        </w:tc>
      </w:tr>
      <w:tr w:rsidR="00A72BF6" w:rsidRPr="00E1143A" w:rsidTr="00F41A2D">
        <w:trPr>
          <w:trHeight w:val="299"/>
          <w:jc w:val="center"/>
        </w:trPr>
        <w:tc>
          <w:tcPr>
            <w:tcW w:w="2250" w:type="dxa"/>
          </w:tcPr>
          <w:p w:rsidR="00A72BF6" w:rsidRDefault="00A72BF6" w:rsidP="00F41A2D">
            <w:pPr>
              <w:spacing w:before="13" w:line="266" w:lineRule="exact"/>
              <w:ind w:left="60" w:right="137"/>
            </w:pPr>
            <w:r>
              <w:t>Male students who identify as LGBTQ</w:t>
            </w:r>
          </w:p>
          <w:p w:rsidR="00A72BF6" w:rsidRDefault="00A72BF6" w:rsidP="00F41A2D">
            <w:pPr>
              <w:spacing w:before="13" w:line="266" w:lineRule="exact"/>
              <w:ind w:left="60" w:right="137"/>
            </w:pPr>
          </w:p>
        </w:tc>
        <w:tc>
          <w:tcPr>
            <w:tcW w:w="1440" w:type="dxa"/>
          </w:tcPr>
          <w:p w:rsidR="00A72BF6" w:rsidRDefault="00A72BF6" w:rsidP="00F41A2D">
            <w:pPr>
              <w:spacing w:before="13" w:line="266" w:lineRule="exact"/>
              <w:ind w:left="60" w:right="137"/>
              <w:jc w:val="center"/>
            </w:pPr>
            <w:r>
              <w:t>243</w:t>
            </w:r>
          </w:p>
        </w:tc>
        <w:tc>
          <w:tcPr>
            <w:tcW w:w="1440" w:type="dxa"/>
          </w:tcPr>
          <w:p w:rsidR="00A72BF6" w:rsidRDefault="00A72BF6" w:rsidP="00F41A2D">
            <w:pPr>
              <w:spacing w:before="13" w:line="266" w:lineRule="exact"/>
              <w:ind w:left="60" w:right="137"/>
              <w:jc w:val="center"/>
            </w:pPr>
            <w:r>
              <w:t>12</w:t>
            </w:r>
          </w:p>
        </w:tc>
        <w:tc>
          <w:tcPr>
            <w:tcW w:w="1440" w:type="dxa"/>
          </w:tcPr>
          <w:p w:rsidR="00A72BF6" w:rsidRDefault="00A72BF6" w:rsidP="00F41A2D">
            <w:pPr>
              <w:spacing w:before="13" w:line="266" w:lineRule="exact"/>
              <w:ind w:left="60" w:right="137"/>
              <w:jc w:val="center"/>
            </w:pPr>
            <w:r>
              <w:t>4.9%</w:t>
            </w:r>
          </w:p>
        </w:tc>
        <w:tc>
          <w:tcPr>
            <w:tcW w:w="1440" w:type="dxa"/>
          </w:tcPr>
          <w:p w:rsidR="00A72BF6" w:rsidRDefault="00A72BF6" w:rsidP="00F41A2D">
            <w:pPr>
              <w:spacing w:before="13" w:line="266" w:lineRule="exact"/>
              <w:ind w:left="60" w:right="137"/>
              <w:jc w:val="center"/>
            </w:pPr>
          </w:p>
          <w:p w:rsidR="00A72BF6" w:rsidRDefault="00A72BF6" w:rsidP="00F41A2D">
            <w:pPr>
              <w:spacing w:before="13" w:line="266" w:lineRule="exact"/>
              <w:ind w:left="60" w:right="137"/>
              <w:jc w:val="center"/>
            </w:pPr>
            <w:r>
              <w:t>20</w:t>
            </w:r>
          </w:p>
        </w:tc>
        <w:tc>
          <w:tcPr>
            <w:tcW w:w="1440" w:type="dxa"/>
          </w:tcPr>
          <w:p w:rsidR="00A72BF6" w:rsidRDefault="00A72BF6" w:rsidP="00F41A2D">
            <w:pPr>
              <w:spacing w:before="13" w:line="266" w:lineRule="exact"/>
              <w:ind w:left="60" w:right="137"/>
              <w:jc w:val="center"/>
            </w:pPr>
            <w:r>
              <w:t>8.2%</w:t>
            </w:r>
          </w:p>
        </w:tc>
      </w:tr>
    </w:tbl>
    <w:p w:rsidR="00A72BF6" w:rsidRDefault="00A72BF6" w:rsidP="001A477A">
      <w:pPr>
        <w:pStyle w:val="BodyText"/>
        <w:spacing w:before="1"/>
        <w:ind w:left="900"/>
        <w:rPr>
          <w:b/>
          <w:i/>
          <w:sz w:val="22"/>
        </w:rPr>
      </w:pPr>
    </w:p>
    <w:p w:rsidR="00F574BA" w:rsidRPr="001A1D3C" w:rsidRDefault="00F574BA" w:rsidP="001A477A">
      <w:pPr>
        <w:pStyle w:val="BodyText"/>
        <w:spacing w:before="1"/>
        <w:ind w:left="900"/>
        <w:rPr>
          <w:b/>
          <w:i/>
          <w:sz w:val="22"/>
        </w:rPr>
      </w:pPr>
      <w:r w:rsidRPr="001A1D3C">
        <w:rPr>
          <w:b/>
          <w:i/>
          <w:sz w:val="22"/>
        </w:rPr>
        <w:t>METRIC 5: ACTIVITIES TO ACHIEVE GOAL</w:t>
      </w:r>
    </w:p>
    <w:p w:rsidR="00F574BA" w:rsidRDefault="001D45AB" w:rsidP="001A477A">
      <w:pPr>
        <w:pStyle w:val="BodyText"/>
        <w:spacing w:before="1"/>
        <w:ind w:left="900"/>
        <w:rPr>
          <w:sz w:val="22"/>
        </w:rPr>
      </w:pPr>
      <w:r>
        <w:rPr>
          <w:sz w:val="22"/>
        </w:rPr>
        <w:t>Activities in this area rely on partnerships across programs services and institutions</w:t>
      </w:r>
      <w:r w:rsidR="0046352F">
        <w:rPr>
          <w:sz w:val="22"/>
        </w:rPr>
        <w:t xml:space="preserve"> that promote </w:t>
      </w:r>
      <w:r w:rsidR="0046352F">
        <w:t>transfer for underrepresented students</w:t>
      </w:r>
      <w:r>
        <w:rPr>
          <w:sz w:val="22"/>
        </w:rPr>
        <w:t xml:space="preserve">. </w:t>
      </w:r>
      <w:r w:rsidR="00F574BA" w:rsidRPr="001D45AB">
        <w:rPr>
          <w:sz w:val="22"/>
        </w:rPr>
        <w:t xml:space="preserve"> </w:t>
      </w:r>
    </w:p>
    <w:p w:rsidR="00502D29" w:rsidRPr="00D63504" w:rsidRDefault="00502D29" w:rsidP="00502D29">
      <w:pPr>
        <w:pStyle w:val="BodyText"/>
        <w:numPr>
          <w:ilvl w:val="0"/>
          <w:numId w:val="27"/>
        </w:numPr>
        <w:spacing w:before="1"/>
        <w:rPr>
          <w:sz w:val="22"/>
          <w:u w:val="single"/>
        </w:rPr>
      </w:pPr>
      <w:r w:rsidRPr="00D63504">
        <w:rPr>
          <w:sz w:val="22"/>
          <w:u w:val="single"/>
        </w:rPr>
        <w:t>Transfer Center</w:t>
      </w:r>
    </w:p>
    <w:p w:rsidR="0046352F" w:rsidRDefault="0046352F" w:rsidP="0046352F">
      <w:pPr>
        <w:pStyle w:val="BodyText"/>
        <w:spacing w:before="1"/>
        <w:ind w:left="900"/>
        <w:rPr>
          <w:sz w:val="22"/>
        </w:rPr>
      </w:pPr>
      <w:r>
        <w:rPr>
          <w:sz w:val="22"/>
        </w:rPr>
        <w:t xml:space="preserve">The Pierce College Transfer Center hosts various workshops and events throughout the year to increase awareness for transfer requirements, options and deadlines. SEA resources are allocated to help ensure that the center is open and accessible to traditionally </w:t>
      </w:r>
      <w:r w:rsidR="00373A86">
        <w:rPr>
          <w:sz w:val="22"/>
        </w:rPr>
        <w:t xml:space="preserve">our traditionally </w:t>
      </w:r>
      <w:r>
        <w:rPr>
          <w:sz w:val="22"/>
        </w:rPr>
        <w:t>underserved students</w:t>
      </w:r>
      <w:r w:rsidR="00373A86">
        <w:rPr>
          <w:sz w:val="22"/>
        </w:rPr>
        <w:t>.</w:t>
      </w:r>
      <w:r w:rsidR="00D63504">
        <w:rPr>
          <w:sz w:val="22"/>
        </w:rPr>
        <w:t xml:space="preserve"> </w:t>
      </w:r>
      <w:r w:rsidR="00373A86">
        <w:rPr>
          <w:sz w:val="22"/>
        </w:rPr>
        <w:t xml:space="preserve"> </w:t>
      </w:r>
    </w:p>
    <w:p w:rsidR="00502D29" w:rsidRPr="00D63504" w:rsidRDefault="00502D29" w:rsidP="00502D29">
      <w:pPr>
        <w:pStyle w:val="BodyText"/>
        <w:numPr>
          <w:ilvl w:val="0"/>
          <w:numId w:val="27"/>
        </w:numPr>
        <w:spacing w:before="1"/>
        <w:rPr>
          <w:sz w:val="22"/>
          <w:u w:val="single"/>
        </w:rPr>
      </w:pPr>
      <w:r w:rsidRPr="00D63504">
        <w:rPr>
          <w:sz w:val="22"/>
          <w:u w:val="single"/>
        </w:rPr>
        <w:t>UCLA California Community College Partnership</w:t>
      </w:r>
      <w:r w:rsidR="000D6D34">
        <w:rPr>
          <w:sz w:val="22"/>
          <w:u w:val="single"/>
        </w:rPr>
        <w:t xml:space="preserve"> (UCLA CCCCP)</w:t>
      </w:r>
    </w:p>
    <w:p w:rsidR="00D63504" w:rsidRDefault="00D63504" w:rsidP="00D63504">
      <w:pPr>
        <w:pStyle w:val="BodyText"/>
        <w:spacing w:before="1"/>
        <w:ind w:left="900"/>
        <w:rPr>
          <w:sz w:val="22"/>
        </w:rPr>
      </w:pPr>
      <w:r w:rsidRPr="00D63504">
        <w:rPr>
          <w:sz w:val="22"/>
        </w:rPr>
        <w:t>In 2017, after piloting the program the year prior, Pierce College continued its commitment to transfer through our UCLA CCCP Scholars Program, which helps motivate, inform and prepare Pierce College students to transfer to selective top tier research institutions, such as UCLA and other UC schools. This program includes opportunities such as summer intensive transfer experiences, on and off-campus workshops, mentorships, and recurring guidance and support.</w:t>
      </w:r>
    </w:p>
    <w:p w:rsidR="00502D29" w:rsidRPr="00D63504" w:rsidRDefault="00502D29" w:rsidP="00502D29">
      <w:pPr>
        <w:pStyle w:val="BodyText"/>
        <w:numPr>
          <w:ilvl w:val="0"/>
          <w:numId w:val="27"/>
        </w:numPr>
        <w:spacing w:before="1"/>
        <w:rPr>
          <w:sz w:val="22"/>
          <w:u w:val="single"/>
        </w:rPr>
      </w:pPr>
      <w:r w:rsidRPr="00D63504">
        <w:rPr>
          <w:sz w:val="22"/>
          <w:u w:val="single"/>
        </w:rPr>
        <w:t xml:space="preserve">Specialized Counseling and Transfer Activities: </w:t>
      </w:r>
      <w:r w:rsidRPr="00D63504">
        <w:rPr>
          <w:sz w:val="22"/>
        </w:rPr>
        <w:t>Guardian Scholars</w:t>
      </w:r>
      <w:r w:rsidR="00D63504">
        <w:rPr>
          <w:sz w:val="22"/>
        </w:rPr>
        <w:t xml:space="preserve">, Umoja, </w:t>
      </w:r>
    </w:p>
    <w:p w:rsidR="00846678" w:rsidRPr="00846678" w:rsidRDefault="00373A86" w:rsidP="00846678">
      <w:pPr>
        <w:pStyle w:val="BodyText"/>
        <w:spacing w:before="1"/>
        <w:ind w:left="900"/>
        <w:rPr>
          <w:sz w:val="22"/>
        </w:rPr>
      </w:pPr>
      <w:r>
        <w:rPr>
          <w:sz w:val="22"/>
        </w:rPr>
        <w:t>As mentioned above, SEA resources are also allocated to off specialized counseling and transfer-related activities to Guardian Scholars, serving our current and former foster youth students, including visits to neighboring four-year institutions.</w:t>
      </w:r>
    </w:p>
    <w:p w:rsidR="00846678" w:rsidRDefault="00846678" w:rsidP="0046352F">
      <w:pPr>
        <w:pStyle w:val="BodyText"/>
        <w:spacing w:before="1"/>
        <w:ind w:left="900"/>
        <w:rPr>
          <w:b/>
          <w:i/>
          <w:sz w:val="22"/>
        </w:rPr>
      </w:pPr>
    </w:p>
    <w:p w:rsidR="00846678" w:rsidRDefault="00846678" w:rsidP="0046352F">
      <w:pPr>
        <w:pStyle w:val="BodyText"/>
        <w:spacing w:before="1"/>
        <w:ind w:left="900"/>
        <w:rPr>
          <w:b/>
          <w:i/>
          <w:sz w:val="22"/>
        </w:rPr>
      </w:pPr>
    </w:p>
    <w:p w:rsidR="00846678" w:rsidRDefault="00846678">
      <w:pPr>
        <w:rPr>
          <w:b/>
          <w:i/>
          <w:szCs w:val="24"/>
        </w:rPr>
      </w:pPr>
      <w:r>
        <w:rPr>
          <w:b/>
          <w:i/>
        </w:rPr>
        <w:br w:type="page"/>
      </w:r>
    </w:p>
    <w:p w:rsidR="00846678" w:rsidRDefault="00846678" w:rsidP="0046352F">
      <w:pPr>
        <w:pStyle w:val="BodyText"/>
        <w:spacing w:before="1"/>
        <w:ind w:left="900"/>
        <w:rPr>
          <w:b/>
          <w:i/>
          <w:sz w:val="22"/>
        </w:rPr>
      </w:pPr>
    </w:p>
    <w:p w:rsidR="001A1D3C" w:rsidRPr="001A1D3C" w:rsidRDefault="001A1D3C" w:rsidP="0046352F">
      <w:pPr>
        <w:pStyle w:val="BodyText"/>
        <w:spacing w:before="1"/>
        <w:ind w:left="900"/>
        <w:rPr>
          <w:b/>
          <w:i/>
          <w:sz w:val="22"/>
        </w:rPr>
      </w:pPr>
      <w:r w:rsidRPr="001A1D3C">
        <w:rPr>
          <w:b/>
          <w:i/>
          <w:sz w:val="22"/>
        </w:rPr>
        <w:t>METRIC 5: RESOURCES</w:t>
      </w:r>
    </w:p>
    <w:p w:rsidR="00D63504" w:rsidRDefault="00D63504" w:rsidP="001A477A">
      <w:pPr>
        <w:pStyle w:val="BodyText"/>
        <w:spacing w:before="1"/>
        <w:ind w:left="900"/>
        <w:rPr>
          <w:b/>
          <w:sz w:val="22"/>
        </w:rPr>
      </w:pPr>
    </w:p>
    <w:p w:rsidR="00965284" w:rsidRDefault="006D2958" w:rsidP="001A477A">
      <w:pPr>
        <w:pStyle w:val="BodyText"/>
        <w:spacing w:before="1"/>
        <w:ind w:left="900"/>
        <w:rPr>
          <w:rFonts w:asciiTheme="minorHAnsi" w:eastAsiaTheme="minorHAnsi" w:hAnsiTheme="minorHAnsi" w:cstheme="minorBidi"/>
          <w:sz w:val="22"/>
          <w:szCs w:val="22"/>
          <w:lang w:bidi="ar-SA"/>
        </w:rPr>
      </w:pPr>
      <w:bookmarkStart w:id="14" w:name="_Hlk8733595"/>
      <w:r w:rsidRPr="00A169CE">
        <w:rPr>
          <w:b/>
          <w:sz w:val="22"/>
        </w:rPr>
        <w:t>Table 5.</w:t>
      </w:r>
      <w:r>
        <w:rPr>
          <w:b/>
          <w:sz w:val="22"/>
        </w:rPr>
        <w:t>10</w:t>
      </w:r>
      <w:r w:rsidRPr="00A169CE">
        <w:rPr>
          <w:b/>
          <w:sz w:val="22"/>
        </w:rPr>
        <w:t xml:space="preserve"> Estimated SEA funding allocated to </w:t>
      </w:r>
      <w:bookmarkEnd w:id="14"/>
      <w:r w:rsidRPr="00A169CE">
        <w:rPr>
          <w:b/>
          <w:sz w:val="22"/>
        </w:rPr>
        <w:t>activities related to</w:t>
      </w:r>
      <w:r>
        <w:rPr>
          <w:b/>
          <w:sz w:val="22"/>
        </w:rPr>
        <w:t xml:space="preserve"> transfer </w:t>
      </w:r>
      <w:r w:rsidR="001A1D3C">
        <w:fldChar w:fldCharType="begin"/>
      </w:r>
      <w:r w:rsidR="001A1D3C">
        <w:instrText xml:space="preserve"> LINK Excel.Sheet.12 "Book1" "Sheet1!R40C1:R47C3" \a \f 4 \h </w:instrText>
      </w:r>
      <w:r w:rsidR="00F41A2D">
        <w:instrText xml:space="preserve"> \* MERGEFORMAT </w:instrText>
      </w:r>
      <w:r w:rsidR="001A1D3C">
        <w:fldChar w:fldCharType="separate"/>
      </w:r>
    </w:p>
    <w:tbl>
      <w:tblPr>
        <w:tblStyle w:val="TableGrid"/>
        <w:tblW w:w="8200" w:type="dxa"/>
        <w:tblInd w:w="880" w:type="dxa"/>
        <w:tblLook w:val="04A0" w:firstRow="1" w:lastRow="0" w:firstColumn="1" w:lastColumn="0" w:noHBand="0" w:noVBand="1"/>
        <w:tblCaption w:val="Estimated SEA funding allocated to activities related to transfer "/>
        <w:tblDescription w:val="Estimated SEA funding allocated to activities related to transfer "/>
      </w:tblPr>
      <w:tblGrid>
        <w:gridCol w:w="2700"/>
        <w:gridCol w:w="2800"/>
        <w:gridCol w:w="2700"/>
      </w:tblGrid>
      <w:tr w:rsidR="00965284" w:rsidRPr="00965284" w:rsidTr="00F41A2D">
        <w:trPr>
          <w:divId w:val="939223304"/>
          <w:trHeight w:val="615"/>
        </w:trPr>
        <w:tc>
          <w:tcPr>
            <w:tcW w:w="2700" w:type="dxa"/>
            <w:hideMark/>
          </w:tcPr>
          <w:p w:rsidR="00965284" w:rsidRPr="00965284" w:rsidRDefault="00965284" w:rsidP="00965284">
            <w:pPr>
              <w:widowControl/>
              <w:autoSpaceDE/>
              <w:autoSpaceDN/>
              <w:jc w:val="center"/>
              <w:rPr>
                <w:rFonts w:eastAsia="Times New Roman"/>
                <w:b/>
                <w:bCs/>
                <w:color w:val="000000"/>
                <w:lang w:bidi="ar-SA"/>
              </w:rPr>
            </w:pPr>
            <w:r w:rsidRPr="00965284">
              <w:rPr>
                <w:rFonts w:eastAsia="Times New Roman"/>
                <w:b/>
                <w:bCs/>
                <w:color w:val="000000"/>
                <w:lang w:bidi="ar-SA"/>
              </w:rPr>
              <w:t xml:space="preserve">Success Metric </w:t>
            </w:r>
          </w:p>
        </w:tc>
        <w:tc>
          <w:tcPr>
            <w:tcW w:w="2800" w:type="dxa"/>
            <w:hideMark/>
          </w:tcPr>
          <w:p w:rsidR="00965284" w:rsidRPr="00965284" w:rsidRDefault="00965284" w:rsidP="00965284">
            <w:pPr>
              <w:widowControl/>
              <w:autoSpaceDE/>
              <w:autoSpaceDN/>
              <w:jc w:val="center"/>
              <w:rPr>
                <w:rFonts w:eastAsia="Times New Roman"/>
                <w:b/>
                <w:bCs/>
                <w:color w:val="000000"/>
                <w:lang w:bidi="ar-SA"/>
              </w:rPr>
            </w:pPr>
            <w:r w:rsidRPr="00965284">
              <w:rPr>
                <w:rFonts w:eastAsia="Times New Roman"/>
                <w:b/>
                <w:bCs/>
                <w:color w:val="000000"/>
                <w:lang w:bidi="ar-SA"/>
              </w:rPr>
              <w:t>Activity</w:t>
            </w:r>
          </w:p>
        </w:tc>
        <w:tc>
          <w:tcPr>
            <w:tcW w:w="2700" w:type="dxa"/>
            <w:hideMark/>
          </w:tcPr>
          <w:p w:rsidR="00965284" w:rsidRPr="00965284" w:rsidRDefault="00965284" w:rsidP="00965284">
            <w:pPr>
              <w:widowControl/>
              <w:autoSpaceDE/>
              <w:autoSpaceDN/>
              <w:jc w:val="center"/>
              <w:rPr>
                <w:rFonts w:eastAsia="Times New Roman"/>
                <w:b/>
                <w:bCs/>
                <w:color w:val="000000"/>
                <w:lang w:bidi="ar-SA"/>
              </w:rPr>
            </w:pPr>
            <w:r w:rsidRPr="00965284">
              <w:rPr>
                <w:rFonts w:eastAsia="Times New Roman"/>
                <w:b/>
                <w:bCs/>
                <w:color w:val="000000"/>
                <w:lang w:bidi="ar-SA"/>
              </w:rPr>
              <w:t>Estimated 2019-2020 Expenditures</w:t>
            </w:r>
          </w:p>
        </w:tc>
      </w:tr>
      <w:tr w:rsidR="001E5159" w:rsidRPr="00965284" w:rsidTr="00F41A2D">
        <w:trPr>
          <w:divId w:val="939223304"/>
          <w:trHeight w:val="300"/>
        </w:trPr>
        <w:tc>
          <w:tcPr>
            <w:tcW w:w="27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Tra</w:t>
            </w:r>
            <w:r>
              <w:rPr>
                <w:rFonts w:eastAsia="Times New Roman"/>
                <w:color w:val="000000"/>
                <w:lang w:bidi="ar-SA"/>
              </w:rPr>
              <w:t>n</w:t>
            </w:r>
            <w:r w:rsidRPr="00965284">
              <w:rPr>
                <w:rFonts w:eastAsia="Times New Roman"/>
                <w:color w:val="000000"/>
                <w:lang w:bidi="ar-SA"/>
              </w:rPr>
              <w:t xml:space="preserve">sfer to a </w:t>
            </w:r>
            <w:proofErr w:type="gramStart"/>
            <w:r w:rsidRPr="00965284">
              <w:rPr>
                <w:rFonts w:eastAsia="Times New Roman"/>
                <w:color w:val="000000"/>
                <w:lang w:bidi="ar-SA"/>
              </w:rPr>
              <w:t>4 year</w:t>
            </w:r>
            <w:proofErr w:type="gramEnd"/>
            <w:r w:rsidRPr="00965284">
              <w:rPr>
                <w:rFonts w:eastAsia="Times New Roman"/>
                <w:color w:val="000000"/>
                <w:lang w:bidi="ar-SA"/>
              </w:rPr>
              <w:t xml:space="preserve"> institution</w:t>
            </w: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Transfer Center</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$112,522</w:t>
            </w:r>
          </w:p>
        </w:tc>
      </w:tr>
      <w:tr w:rsidR="001E5159" w:rsidRPr="00965284" w:rsidTr="00F41A2D">
        <w:trPr>
          <w:divId w:val="939223304"/>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 xml:space="preserve">UCLA CCCP Scholars </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w:t>
            </w:r>
            <w:r>
              <w:rPr>
                <w:rFonts w:eastAsia="Times New Roman"/>
                <w:color w:val="000000"/>
                <w:lang w:bidi="ar-SA"/>
              </w:rPr>
              <w:t>411</w:t>
            </w:r>
            <w:r w:rsidRPr="00965284">
              <w:rPr>
                <w:rFonts w:eastAsia="Times New Roman"/>
                <w:color w:val="000000"/>
                <w:lang w:bidi="ar-SA"/>
              </w:rPr>
              <w:t>,000</w:t>
            </w:r>
          </w:p>
        </w:tc>
      </w:tr>
      <w:tr w:rsidR="001E5159" w:rsidRPr="00965284" w:rsidTr="00F41A2D">
        <w:trPr>
          <w:divId w:val="939223304"/>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Transfer Activities</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$10,000</w:t>
            </w:r>
          </w:p>
        </w:tc>
      </w:tr>
      <w:tr w:rsidR="001E5159" w:rsidRPr="00965284" w:rsidTr="00F41A2D">
        <w:trPr>
          <w:divId w:val="939223304"/>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Guardian Scholars</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$5,000</w:t>
            </w:r>
          </w:p>
        </w:tc>
      </w:tr>
      <w:tr w:rsidR="001E5159" w:rsidRPr="00965284" w:rsidTr="00F41A2D">
        <w:trPr>
          <w:divId w:val="939223304"/>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Umoja</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$20,000</w:t>
            </w:r>
          </w:p>
        </w:tc>
      </w:tr>
      <w:tr w:rsidR="001E5159" w:rsidRPr="00965284" w:rsidTr="00F41A2D">
        <w:trPr>
          <w:divId w:val="939223304"/>
          <w:trHeight w:val="300"/>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color w:val="000000"/>
                <w:lang w:bidi="ar-SA"/>
              </w:rPr>
            </w:pPr>
            <w:r w:rsidRPr="00965284">
              <w:rPr>
                <w:rFonts w:eastAsia="Times New Roman"/>
                <w:color w:val="000000"/>
                <w:lang w:bidi="ar-SA"/>
              </w:rPr>
              <w:t xml:space="preserve">Veterans Services </w:t>
            </w:r>
          </w:p>
        </w:tc>
        <w:tc>
          <w:tcPr>
            <w:tcW w:w="2700" w:type="dxa"/>
            <w:hideMark/>
          </w:tcPr>
          <w:p w:rsidR="001E5159" w:rsidRPr="00965284" w:rsidRDefault="001E5159" w:rsidP="00965284">
            <w:pPr>
              <w:widowControl/>
              <w:autoSpaceDE/>
              <w:autoSpaceDN/>
              <w:jc w:val="right"/>
              <w:rPr>
                <w:rFonts w:eastAsia="Times New Roman"/>
                <w:color w:val="000000"/>
                <w:lang w:bidi="ar-SA"/>
              </w:rPr>
            </w:pPr>
            <w:r w:rsidRPr="00965284">
              <w:rPr>
                <w:rFonts w:eastAsia="Times New Roman"/>
                <w:color w:val="000000"/>
                <w:lang w:bidi="ar-SA"/>
              </w:rPr>
              <w:t>$8,000</w:t>
            </w:r>
          </w:p>
        </w:tc>
      </w:tr>
      <w:tr w:rsidR="001E5159" w:rsidRPr="00965284" w:rsidTr="00F41A2D">
        <w:trPr>
          <w:divId w:val="939223304"/>
          <w:trHeight w:val="315"/>
        </w:trPr>
        <w:tc>
          <w:tcPr>
            <w:tcW w:w="2700" w:type="dxa"/>
            <w:hideMark/>
          </w:tcPr>
          <w:p w:rsidR="001E5159" w:rsidRPr="00965284" w:rsidRDefault="001E5159" w:rsidP="00965284">
            <w:pPr>
              <w:widowControl/>
              <w:autoSpaceDE/>
              <w:autoSpaceDN/>
              <w:rPr>
                <w:rFonts w:eastAsia="Times New Roman"/>
                <w:color w:val="000000"/>
                <w:lang w:bidi="ar-SA"/>
              </w:rPr>
            </w:pPr>
          </w:p>
        </w:tc>
        <w:tc>
          <w:tcPr>
            <w:tcW w:w="2800" w:type="dxa"/>
            <w:hideMark/>
          </w:tcPr>
          <w:p w:rsidR="001E5159" w:rsidRPr="00965284" w:rsidRDefault="001E5159" w:rsidP="00965284">
            <w:pPr>
              <w:widowControl/>
              <w:autoSpaceDE/>
              <w:autoSpaceDN/>
              <w:rPr>
                <w:rFonts w:eastAsia="Times New Roman"/>
                <w:b/>
                <w:bCs/>
                <w:color w:val="000000"/>
                <w:lang w:bidi="ar-SA"/>
              </w:rPr>
            </w:pPr>
            <w:r w:rsidRPr="00965284">
              <w:rPr>
                <w:rFonts w:eastAsia="Times New Roman"/>
                <w:b/>
                <w:bCs/>
                <w:color w:val="000000"/>
                <w:lang w:bidi="ar-SA"/>
              </w:rPr>
              <w:t>Total</w:t>
            </w:r>
          </w:p>
        </w:tc>
        <w:tc>
          <w:tcPr>
            <w:tcW w:w="2700" w:type="dxa"/>
            <w:hideMark/>
          </w:tcPr>
          <w:p w:rsidR="001E5159" w:rsidRPr="00965284" w:rsidRDefault="001E5159" w:rsidP="00965284">
            <w:pPr>
              <w:widowControl/>
              <w:autoSpaceDE/>
              <w:autoSpaceDN/>
              <w:jc w:val="right"/>
              <w:rPr>
                <w:rFonts w:eastAsia="Times New Roman"/>
                <w:b/>
                <w:bCs/>
                <w:color w:val="000000"/>
                <w:lang w:bidi="ar-SA"/>
              </w:rPr>
            </w:pPr>
            <w:r w:rsidRPr="00965284">
              <w:rPr>
                <w:rFonts w:eastAsia="Times New Roman"/>
                <w:b/>
                <w:bCs/>
                <w:color w:val="000000"/>
                <w:lang w:bidi="ar-SA"/>
              </w:rPr>
              <w:t>$5</w:t>
            </w:r>
            <w:r>
              <w:rPr>
                <w:rFonts w:eastAsia="Times New Roman"/>
                <w:b/>
                <w:bCs/>
                <w:color w:val="000000"/>
                <w:lang w:bidi="ar-SA"/>
              </w:rPr>
              <w:t>66</w:t>
            </w:r>
            <w:r w:rsidRPr="00965284">
              <w:rPr>
                <w:rFonts w:eastAsia="Times New Roman"/>
                <w:b/>
                <w:bCs/>
                <w:color w:val="000000"/>
                <w:lang w:bidi="ar-SA"/>
              </w:rPr>
              <w:t>,522</w:t>
            </w:r>
          </w:p>
        </w:tc>
      </w:tr>
    </w:tbl>
    <w:p w:rsidR="00D63504" w:rsidRDefault="001A1D3C" w:rsidP="001A477A">
      <w:pPr>
        <w:pStyle w:val="BodyText"/>
        <w:spacing w:before="1"/>
        <w:ind w:left="900"/>
        <w:rPr>
          <w:b/>
          <w:sz w:val="22"/>
        </w:rPr>
      </w:pPr>
      <w:r>
        <w:rPr>
          <w:b/>
          <w:sz w:val="22"/>
        </w:rPr>
        <w:fldChar w:fldCharType="end"/>
      </w:r>
    </w:p>
    <w:p w:rsidR="00BC3A0F" w:rsidRDefault="00BC3A0F">
      <w:pPr>
        <w:pStyle w:val="BodyText"/>
        <w:rPr>
          <w:sz w:val="22"/>
        </w:rPr>
      </w:pPr>
    </w:p>
    <w:p w:rsidR="002134BC" w:rsidRDefault="002134BC">
      <w:pPr>
        <w:rPr>
          <w:szCs w:val="24"/>
        </w:rPr>
      </w:pPr>
      <w:r>
        <w:br w:type="page"/>
      </w:r>
    </w:p>
    <w:p w:rsidR="00BC3A0F" w:rsidRDefault="007104FA" w:rsidP="006D2958">
      <w:pPr>
        <w:pStyle w:val="Heading6"/>
        <w:numPr>
          <w:ilvl w:val="0"/>
          <w:numId w:val="28"/>
        </w:numPr>
      </w:pPr>
      <w:r>
        <w:t xml:space="preserve">Student Equity Plan </w:t>
      </w:r>
      <w:r w:rsidR="001655FB">
        <w:t>Resources</w:t>
      </w:r>
    </w:p>
    <w:p w:rsidR="003D744E" w:rsidRDefault="007104FA" w:rsidP="007104FA">
      <w:pPr>
        <w:pStyle w:val="Heading6"/>
        <w:ind w:left="860"/>
        <w:rPr>
          <w:b w:val="0"/>
        </w:rPr>
      </w:pPr>
      <w:r w:rsidRPr="007104FA">
        <w:rPr>
          <w:b w:val="0"/>
        </w:rPr>
        <w:t xml:space="preserve">With the </w:t>
      </w:r>
      <w:r w:rsidR="003E35AC">
        <w:rPr>
          <w:b w:val="0"/>
        </w:rPr>
        <w:t xml:space="preserve">consolidated (SSSP, BSI, Equity) allocation, below is a summary of how the </w:t>
      </w:r>
      <w:r w:rsidR="003D744E">
        <w:rPr>
          <w:b w:val="0"/>
        </w:rPr>
        <w:t>Student Equity and Achievement Program expenditures</w:t>
      </w:r>
      <w:r w:rsidR="00530D0A">
        <w:rPr>
          <w:b w:val="0"/>
        </w:rPr>
        <w:t>.</w:t>
      </w:r>
    </w:p>
    <w:p w:rsidR="007104FA" w:rsidRDefault="003E35AC" w:rsidP="007104FA">
      <w:pPr>
        <w:pStyle w:val="Heading6"/>
        <w:ind w:left="860"/>
        <w:rPr>
          <w:b w:val="0"/>
        </w:rPr>
      </w:pPr>
      <w:r>
        <w:rPr>
          <w:b w:val="0"/>
        </w:rPr>
        <w:t xml:space="preserve"> </w:t>
      </w:r>
    </w:p>
    <w:p w:rsidR="003E35AC" w:rsidRPr="00530D0A" w:rsidRDefault="003E35AC" w:rsidP="00530D0A">
      <w:pPr>
        <w:pStyle w:val="Heading6"/>
        <w:spacing w:before="0"/>
        <w:ind w:left="860"/>
      </w:pPr>
      <w:r w:rsidRPr="00530D0A">
        <w:rPr>
          <w:sz w:val="22"/>
        </w:rPr>
        <w:t xml:space="preserve">Table </w:t>
      </w:r>
      <w:r w:rsidR="00530D0A">
        <w:rPr>
          <w:sz w:val="22"/>
        </w:rPr>
        <w:t>6</w:t>
      </w:r>
      <w:r w:rsidRPr="00530D0A">
        <w:rPr>
          <w:sz w:val="22"/>
        </w:rPr>
        <w:t xml:space="preserve">.1 Estimated Student Equity and Achievement </w:t>
      </w:r>
      <w:r w:rsidR="00530D0A">
        <w:rPr>
          <w:sz w:val="22"/>
        </w:rPr>
        <w:t>Expenditures</w:t>
      </w:r>
    </w:p>
    <w:tbl>
      <w:tblPr>
        <w:tblStyle w:val="TableGrid"/>
        <w:tblW w:w="0" w:type="auto"/>
        <w:tblInd w:w="895" w:type="dxa"/>
        <w:tblLayout w:type="fixed"/>
        <w:tblLook w:val="01E0" w:firstRow="1" w:lastRow="1" w:firstColumn="1" w:lastColumn="1" w:noHBand="0" w:noVBand="0"/>
        <w:tblCaption w:val="Estimated Student Equity and Achievement Expenditures"/>
        <w:tblDescription w:val="Estimated Student Equity and Achievement Expenditures"/>
      </w:tblPr>
      <w:tblGrid>
        <w:gridCol w:w="2240"/>
        <w:gridCol w:w="4590"/>
        <w:gridCol w:w="2161"/>
      </w:tblGrid>
      <w:tr w:rsidR="00B022FF" w:rsidTr="00F41A2D">
        <w:trPr>
          <w:trHeight w:val="902"/>
        </w:trPr>
        <w:tc>
          <w:tcPr>
            <w:tcW w:w="2240" w:type="dxa"/>
          </w:tcPr>
          <w:p w:rsidR="00B022FF" w:rsidRDefault="00B022FF" w:rsidP="00846678">
            <w:pPr>
              <w:pStyle w:val="TableParagraph"/>
              <w:ind w:left="0"/>
              <w:rPr>
                <w:sz w:val="25"/>
              </w:rPr>
            </w:pPr>
          </w:p>
          <w:p w:rsidR="00B022FF" w:rsidRDefault="00B022FF" w:rsidP="00846678">
            <w:pPr>
              <w:pStyle w:val="TableParagraph"/>
              <w:ind w:left="166" w:right="151"/>
              <w:jc w:val="center"/>
              <w:rPr>
                <w:b/>
              </w:rPr>
            </w:pPr>
            <w:r>
              <w:rPr>
                <w:b/>
              </w:rPr>
              <w:t>Success Measure</w:t>
            </w:r>
          </w:p>
        </w:tc>
        <w:tc>
          <w:tcPr>
            <w:tcW w:w="4590" w:type="dxa"/>
          </w:tcPr>
          <w:p w:rsidR="00B022FF" w:rsidRDefault="00B022FF" w:rsidP="00846678">
            <w:pPr>
              <w:pStyle w:val="TableParagraph"/>
              <w:ind w:left="0"/>
              <w:rPr>
                <w:sz w:val="25"/>
              </w:rPr>
            </w:pPr>
          </w:p>
          <w:p w:rsidR="00B022FF" w:rsidRDefault="00B022FF" w:rsidP="00846678">
            <w:pPr>
              <w:pStyle w:val="TableParagraph"/>
              <w:ind w:left="198" w:right="184"/>
              <w:jc w:val="center"/>
              <w:rPr>
                <w:b/>
              </w:rPr>
            </w:pPr>
            <w:r>
              <w:rPr>
                <w:b/>
              </w:rPr>
              <w:t>Underserved Groups</w:t>
            </w:r>
          </w:p>
        </w:tc>
        <w:tc>
          <w:tcPr>
            <w:tcW w:w="2161" w:type="dxa"/>
          </w:tcPr>
          <w:p w:rsidR="00B022FF" w:rsidRDefault="00B022FF" w:rsidP="00846678">
            <w:pPr>
              <w:pStyle w:val="TableParagraph"/>
              <w:ind w:left="0"/>
              <w:rPr>
                <w:sz w:val="25"/>
              </w:rPr>
            </w:pPr>
          </w:p>
          <w:p w:rsidR="00B022FF" w:rsidRDefault="003D744E" w:rsidP="00846678">
            <w:pPr>
              <w:pStyle w:val="TableParagraph"/>
              <w:ind w:left="61"/>
              <w:jc w:val="center"/>
              <w:rPr>
                <w:b/>
              </w:rPr>
            </w:pPr>
            <w:r>
              <w:rPr>
                <w:b/>
              </w:rPr>
              <w:t>Estimated Expenditures</w:t>
            </w:r>
          </w:p>
        </w:tc>
      </w:tr>
      <w:tr w:rsidR="00B022FF" w:rsidTr="00F41A2D">
        <w:trPr>
          <w:trHeight w:val="626"/>
        </w:trPr>
        <w:tc>
          <w:tcPr>
            <w:tcW w:w="2240" w:type="dxa"/>
          </w:tcPr>
          <w:p w:rsidR="005B08DC" w:rsidRDefault="005B08DC" w:rsidP="00846678">
            <w:pPr>
              <w:pStyle w:val="TableParagraph"/>
              <w:spacing w:before="174"/>
              <w:ind w:left="164" w:right="151"/>
              <w:jc w:val="center"/>
            </w:pPr>
          </w:p>
          <w:p w:rsidR="00B022FF" w:rsidRDefault="00B022FF" w:rsidP="00846678">
            <w:pPr>
              <w:pStyle w:val="TableParagraph"/>
              <w:spacing w:before="174"/>
              <w:ind w:left="164" w:right="151"/>
              <w:jc w:val="center"/>
            </w:pPr>
            <w:r>
              <w:t>Access</w:t>
            </w:r>
          </w:p>
        </w:tc>
        <w:tc>
          <w:tcPr>
            <w:tcW w:w="4590" w:type="dxa"/>
          </w:tcPr>
          <w:p w:rsidR="00B022FF" w:rsidRDefault="00B022FF" w:rsidP="00846678">
            <w:pPr>
              <w:pStyle w:val="TableParagraph"/>
              <w:spacing w:before="174"/>
              <w:ind w:left="196" w:right="186"/>
              <w:jc w:val="center"/>
            </w:pPr>
            <w:r>
              <w:t>Female American Indian/Alaska Native, African American/Black students, Male Pacific Islander students, Foster Youth, Students that identify aa LGBTQ</w:t>
            </w:r>
          </w:p>
        </w:tc>
        <w:tc>
          <w:tcPr>
            <w:tcW w:w="2161" w:type="dxa"/>
          </w:tcPr>
          <w:p w:rsidR="00B022FF" w:rsidRDefault="00B022FF" w:rsidP="00846678">
            <w:pPr>
              <w:pStyle w:val="TableParagraph"/>
              <w:spacing w:line="265" w:lineRule="exact"/>
              <w:ind w:left="666"/>
            </w:pPr>
          </w:p>
          <w:p w:rsidR="00435E23" w:rsidRDefault="00435E23" w:rsidP="00846678">
            <w:pPr>
              <w:pStyle w:val="TableParagraph"/>
              <w:spacing w:line="265" w:lineRule="exact"/>
              <w:ind w:left="666"/>
            </w:pPr>
          </w:p>
          <w:p w:rsidR="00435E23" w:rsidRDefault="001A1D3C" w:rsidP="00846678">
            <w:pPr>
              <w:pStyle w:val="TableParagraph"/>
              <w:spacing w:line="265" w:lineRule="exact"/>
              <w:ind w:left="666"/>
            </w:pPr>
            <w:r>
              <w:t>$954,836</w:t>
            </w:r>
          </w:p>
        </w:tc>
      </w:tr>
      <w:tr w:rsidR="00B022FF" w:rsidTr="00F41A2D">
        <w:trPr>
          <w:trHeight w:val="599"/>
        </w:trPr>
        <w:tc>
          <w:tcPr>
            <w:tcW w:w="2240" w:type="dxa"/>
          </w:tcPr>
          <w:p w:rsidR="00B022FF" w:rsidRDefault="00B022FF" w:rsidP="00846678">
            <w:pPr>
              <w:pStyle w:val="TableParagraph"/>
              <w:spacing w:before="162"/>
              <w:ind w:left="167" w:right="151"/>
              <w:jc w:val="center"/>
            </w:pPr>
            <w:r>
              <w:t>Retention</w:t>
            </w:r>
          </w:p>
        </w:tc>
        <w:tc>
          <w:tcPr>
            <w:tcW w:w="4590" w:type="dxa"/>
          </w:tcPr>
          <w:p w:rsidR="00B022FF" w:rsidRDefault="00B022FF" w:rsidP="00846678">
            <w:pPr>
              <w:pStyle w:val="TableParagraph"/>
              <w:spacing w:before="162"/>
              <w:ind w:left="198" w:right="132"/>
              <w:jc w:val="center"/>
            </w:pPr>
            <w:r>
              <w:t>American Indian, African American Indian, Hispanic/Latinx, Male students who identify as LGBTQ, Male disabled students, Foster Youth</w:t>
            </w:r>
          </w:p>
        </w:tc>
        <w:tc>
          <w:tcPr>
            <w:tcW w:w="2161" w:type="dxa"/>
          </w:tcPr>
          <w:p w:rsidR="00B022FF" w:rsidRDefault="00B022FF" w:rsidP="00846678">
            <w:pPr>
              <w:pStyle w:val="TableParagraph"/>
              <w:spacing w:before="143"/>
              <w:ind w:left="666"/>
            </w:pPr>
          </w:p>
          <w:p w:rsidR="00435E23" w:rsidRDefault="001A1D3C" w:rsidP="00846678">
            <w:pPr>
              <w:pStyle w:val="TableParagraph"/>
              <w:spacing w:before="143"/>
              <w:ind w:left="666"/>
            </w:pPr>
            <w:r>
              <w:t>$1,908,517</w:t>
            </w:r>
          </w:p>
        </w:tc>
      </w:tr>
      <w:tr w:rsidR="00B022FF" w:rsidTr="00F41A2D">
        <w:trPr>
          <w:trHeight w:val="899"/>
        </w:trPr>
        <w:tc>
          <w:tcPr>
            <w:tcW w:w="2240" w:type="dxa"/>
          </w:tcPr>
          <w:p w:rsidR="00B022FF" w:rsidRDefault="00B022FF" w:rsidP="00846678">
            <w:pPr>
              <w:pStyle w:val="TableParagraph"/>
              <w:spacing w:before="179"/>
              <w:ind w:right="76" w:hanging="32"/>
              <w:jc w:val="center"/>
            </w:pPr>
            <w:r>
              <w:t>Completion of Transfer-Level Math and English</w:t>
            </w:r>
          </w:p>
        </w:tc>
        <w:tc>
          <w:tcPr>
            <w:tcW w:w="4590" w:type="dxa"/>
          </w:tcPr>
          <w:p w:rsidR="00B022FF" w:rsidRDefault="00B022FF" w:rsidP="00846678">
            <w:pPr>
              <w:pStyle w:val="TableParagraph"/>
              <w:spacing w:before="44"/>
              <w:ind w:left="198" w:right="186"/>
              <w:jc w:val="center"/>
            </w:pPr>
            <w:r>
              <w:t>African American/Black, Pacific Islander, Female students who identify as LGBTQ, Disabled students, Foster youth</w:t>
            </w:r>
          </w:p>
        </w:tc>
        <w:tc>
          <w:tcPr>
            <w:tcW w:w="2161" w:type="dxa"/>
          </w:tcPr>
          <w:p w:rsidR="00B022FF" w:rsidRDefault="00B022FF" w:rsidP="00846678">
            <w:pPr>
              <w:pStyle w:val="TableParagraph"/>
              <w:spacing w:before="11"/>
              <w:ind w:left="0"/>
              <w:rPr>
                <w:sz w:val="23"/>
              </w:rPr>
            </w:pPr>
          </w:p>
          <w:p w:rsidR="00B022FF" w:rsidRDefault="001A1D3C" w:rsidP="00846678">
            <w:pPr>
              <w:pStyle w:val="TableParagraph"/>
              <w:ind w:left="666"/>
            </w:pPr>
            <w:r>
              <w:t>$993,200</w:t>
            </w:r>
          </w:p>
        </w:tc>
      </w:tr>
      <w:tr w:rsidR="00B022FF" w:rsidTr="00F41A2D">
        <w:trPr>
          <w:trHeight w:val="900"/>
        </w:trPr>
        <w:tc>
          <w:tcPr>
            <w:tcW w:w="2240" w:type="dxa"/>
          </w:tcPr>
          <w:p w:rsidR="00B022FF" w:rsidRDefault="00B022FF" w:rsidP="008D6536">
            <w:pPr>
              <w:pStyle w:val="TableParagraph"/>
              <w:spacing w:before="44"/>
              <w:ind w:left="0"/>
              <w:jc w:val="center"/>
            </w:pPr>
            <w:r>
              <w:t>Degree and Certificate Completion</w:t>
            </w:r>
          </w:p>
        </w:tc>
        <w:tc>
          <w:tcPr>
            <w:tcW w:w="4590" w:type="dxa"/>
          </w:tcPr>
          <w:p w:rsidR="00B022FF" w:rsidRDefault="00B022FF" w:rsidP="00846678">
            <w:pPr>
              <w:pStyle w:val="TableParagraph"/>
              <w:spacing w:before="8"/>
              <w:ind w:left="0"/>
              <w:rPr>
                <w:sz w:val="25"/>
              </w:rPr>
            </w:pPr>
          </w:p>
          <w:p w:rsidR="00B022FF" w:rsidRDefault="00B022FF" w:rsidP="00846678">
            <w:pPr>
              <w:pStyle w:val="TableParagraph"/>
              <w:spacing w:before="1"/>
              <w:ind w:left="198" w:right="136"/>
              <w:jc w:val="center"/>
            </w:pPr>
            <w:r>
              <w:t>Female American Indian, Male LGBTQ, Male Veteran students</w:t>
            </w:r>
          </w:p>
        </w:tc>
        <w:tc>
          <w:tcPr>
            <w:tcW w:w="2161" w:type="dxa"/>
          </w:tcPr>
          <w:p w:rsidR="00B022FF" w:rsidRDefault="00B022FF" w:rsidP="00846678">
            <w:pPr>
              <w:pStyle w:val="TableParagraph"/>
              <w:spacing w:before="11"/>
              <w:ind w:left="0"/>
              <w:rPr>
                <w:sz w:val="23"/>
              </w:rPr>
            </w:pPr>
          </w:p>
          <w:p w:rsidR="00B022FF" w:rsidRDefault="001A1D3C" w:rsidP="00846678">
            <w:pPr>
              <w:pStyle w:val="TableParagraph"/>
              <w:ind w:left="721"/>
            </w:pPr>
            <w:r>
              <w:t>$276,100</w:t>
            </w:r>
          </w:p>
        </w:tc>
      </w:tr>
      <w:tr w:rsidR="00B022FF" w:rsidTr="008D6536">
        <w:trPr>
          <w:trHeight w:val="1007"/>
        </w:trPr>
        <w:tc>
          <w:tcPr>
            <w:tcW w:w="2240" w:type="dxa"/>
          </w:tcPr>
          <w:p w:rsidR="00B022FF" w:rsidRDefault="00B022FF" w:rsidP="00846678">
            <w:pPr>
              <w:pStyle w:val="TableParagraph"/>
              <w:spacing w:before="8"/>
              <w:ind w:left="0"/>
              <w:rPr>
                <w:sz w:val="25"/>
              </w:rPr>
            </w:pPr>
          </w:p>
          <w:p w:rsidR="00B022FF" w:rsidRDefault="00B022FF" w:rsidP="00846678">
            <w:pPr>
              <w:pStyle w:val="TableParagraph"/>
              <w:ind w:left="164" w:right="151"/>
              <w:jc w:val="center"/>
            </w:pPr>
            <w:r>
              <w:t>Transfer</w:t>
            </w:r>
          </w:p>
        </w:tc>
        <w:tc>
          <w:tcPr>
            <w:tcW w:w="4590" w:type="dxa"/>
          </w:tcPr>
          <w:p w:rsidR="00B022FF" w:rsidRDefault="00B022FF" w:rsidP="00846678">
            <w:pPr>
              <w:pStyle w:val="TableParagraph"/>
              <w:spacing w:before="44"/>
              <w:ind w:left="140" w:right="128" w:firstLine="51"/>
              <w:jc w:val="center"/>
            </w:pPr>
          </w:p>
          <w:p w:rsidR="00B022FF" w:rsidRDefault="00B022FF" w:rsidP="00846678">
            <w:pPr>
              <w:pStyle w:val="TableParagraph"/>
              <w:spacing w:before="44"/>
              <w:ind w:left="140" w:right="128" w:firstLine="51"/>
              <w:jc w:val="center"/>
            </w:pPr>
            <w:r>
              <w:t>Foster Youth, LGBTQ</w:t>
            </w:r>
          </w:p>
        </w:tc>
        <w:tc>
          <w:tcPr>
            <w:tcW w:w="2161" w:type="dxa"/>
          </w:tcPr>
          <w:p w:rsidR="00B022FF" w:rsidRDefault="00B022FF" w:rsidP="00846678">
            <w:pPr>
              <w:pStyle w:val="TableParagraph"/>
              <w:spacing w:before="1"/>
              <w:ind w:left="0"/>
              <w:rPr>
                <w:sz w:val="24"/>
              </w:rPr>
            </w:pPr>
          </w:p>
          <w:p w:rsidR="00B022FF" w:rsidRDefault="001A1D3C" w:rsidP="00846678">
            <w:pPr>
              <w:pStyle w:val="TableParagraph"/>
              <w:ind w:left="666"/>
            </w:pPr>
            <w:r>
              <w:t>$5</w:t>
            </w:r>
            <w:r w:rsidR="00543A3A">
              <w:t>66</w:t>
            </w:r>
            <w:r>
              <w:t>,522</w:t>
            </w:r>
          </w:p>
        </w:tc>
      </w:tr>
      <w:tr w:rsidR="001E5159" w:rsidTr="00C220E8">
        <w:trPr>
          <w:trHeight w:val="1007"/>
        </w:trPr>
        <w:tc>
          <w:tcPr>
            <w:tcW w:w="2240" w:type="dxa"/>
          </w:tcPr>
          <w:p w:rsidR="001E5159" w:rsidRDefault="001E5159" w:rsidP="00846678">
            <w:pPr>
              <w:pStyle w:val="TableParagraph"/>
              <w:spacing w:before="8"/>
              <w:ind w:left="0"/>
              <w:rPr>
                <w:sz w:val="25"/>
              </w:rPr>
            </w:pPr>
          </w:p>
        </w:tc>
        <w:tc>
          <w:tcPr>
            <w:tcW w:w="4590" w:type="dxa"/>
          </w:tcPr>
          <w:p w:rsidR="001E5159" w:rsidRDefault="00C220E8" w:rsidP="00846678">
            <w:pPr>
              <w:pStyle w:val="TableParagraph"/>
              <w:spacing w:before="44"/>
              <w:ind w:left="140" w:right="128" w:firstLine="51"/>
              <w:jc w:val="center"/>
            </w:pPr>
            <w:r>
              <w:t>Direct Coordination &amp; Data Collection</w:t>
            </w:r>
          </w:p>
        </w:tc>
        <w:tc>
          <w:tcPr>
            <w:tcW w:w="2161" w:type="dxa"/>
            <w:vAlign w:val="center"/>
          </w:tcPr>
          <w:p w:rsidR="001E5159" w:rsidRDefault="00C220E8" w:rsidP="00C220E8">
            <w:pPr>
              <w:pStyle w:val="TableParagraph"/>
              <w:spacing w:before="1"/>
              <w:ind w:left="0"/>
              <w:jc w:val="center"/>
              <w:rPr>
                <w:sz w:val="24"/>
              </w:rPr>
            </w:pPr>
            <w:r>
              <w:t>$558,000</w:t>
            </w:r>
          </w:p>
        </w:tc>
      </w:tr>
      <w:tr w:rsidR="00C220E8" w:rsidTr="00C220E8">
        <w:trPr>
          <w:trHeight w:val="1007"/>
        </w:trPr>
        <w:tc>
          <w:tcPr>
            <w:tcW w:w="2240" w:type="dxa"/>
          </w:tcPr>
          <w:p w:rsidR="00C220E8" w:rsidRDefault="00C220E8" w:rsidP="00846678">
            <w:pPr>
              <w:pStyle w:val="TableParagraph"/>
              <w:spacing w:before="8"/>
              <w:ind w:left="0"/>
              <w:rPr>
                <w:sz w:val="25"/>
              </w:rPr>
            </w:pPr>
          </w:p>
        </w:tc>
        <w:tc>
          <w:tcPr>
            <w:tcW w:w="4590" w:type="dxa"/>
            <w:vAlign w:val="center"/>
          </w:tcPr>
          <w:p w:rsidR="00C220E8" w:rsidRPr="00C220E8" w:rsidRDefault="00C220E8" w:rsidP="00C220E8">
            <w:pPr>
              <w:pStyle w:val="TableParagraph"/>
              <w:spacing w:before="44"/>
              <w:ind w:left="140" w:right="128" w:firstLine="51"/>
              <w:jc w:val="center"/>
              <w:rPr>
                <w:b/>
              </w:rPr>
            </w:pPr>
            <w:r w:rsidRPr="00C220E8">
              <w:rPr>
                <w:b/>
              </w:rPr>
              <w:t>Total</w:t>
            </w:r>
          </w:p>
        </w:tc>
        <w:tc>
          <w:tcPr>
            <w:tcW w:w="2161" w:type="dxa"/>
            <w:vAlign w:val="center"/>
          </w:tcPr>
          <w:p w:rsidR="00C220E8" w:rsidRPr="00C220E8" w:rsidRDefault="00C220E8" w:rsidP="00C220E8">
            <w:pPr>
              <w:pStyle w:val="TableParagraph"/>
              <w:spacing w:before="1"/>
              <w:ind w:left="0"/>
              <w:jc w:val="center"/>
              <w:rPr>
                <w:b/>
              </w:rPr>
            </w:pPr>
            <w:r w:rsidRPr="00C220E8">
              <w:rPr>
                <w:b/>
              </w:rPr>
              <w:t>$5,307,175</w:t>
            </w:r>
          </w:p>
        </w:tc>
      </w:tr>
    </w:tbl>
    <w:p w:rsidR="00E06203" w:rsidRDefault="003E35AC">
      <w:pPr>
        <w:pStyle w:val="BodyText"/>
        <w:spacing w:before="1"/>
        <w:rPr>
          <w:b/>
          <w:sz w:val="22"/>
        </w:rPr>
      </w:pPr>
      <w:r>
        <w:rPr>
          <w:b/>
          <w:sz w:val="22"/>
        </w:rPr>
        <w:tab/>
      </w:r>
    </w:p>
    <w:p w:rsidR="00E06203" w:rsidRDefault="00E06203">
      <w:pPr>
        <w:rPr>
          <w:b/>
          <w:szCs w:val="24"/>
        </w:rPr>
      </w:pPr>
      <w:r>
        <w:rPr>
          <w:b/>
        </w:rPr>
        <w:br w:type="page"/>
      </w:r>
    </w:p>
    <w:p w:rsidR="00BC3A0F" w:rsidRDefault="00BC3A0F">
      <w:pPr>
        <w:pStyle w:val="BodyText"/>
        <w:spacing w:before="1"/>
        <w:rPr>
          <w:b/>
          <w:sz w:val="22"/>
        </w:rPr>
      </w:pPr>
    </w:p>
    <w:p w:rsidR="00E06203" w:rsidRPr="00E06203" w:rsidRDefault="00E06203" w:rsidP="00E06203">
      <w:pPr>
        <w:pStyle w:val="ListParagraph"/>
        <w:numPr>
          <w:ilvl w:val="0"/>
          <w:numId w:val="28"/>
        </w:numPr>
        <w:rPr>
          <w:b/>
          <w:szCs w:val="24"/>
        </w:rPr>
      </w:pPr>
      <w:r w:rsidRPr="00E06203">
        <w:rPr>
          <w:b/>
          <w:szCs w:val="24"/>
        </w:rPr>
        <w:t>Process and Schedule:</w:t>
      </w:r>
    </w:p>
    <w:p w:rsidR="00E06203" w:rsidRDefault="00E06203" w:rsidP="00E06203">
      <w:pPr>
        <w:pStyle w:val="ListParagraph"/>
        <w:ind w:firstLine="0"/>
        <w:rPr>
          <w:szCs w:val="24"/>
        </w:rPr>
      </w:pPr>
      <w:r w:rsidRPr="00E06203">
        <w:rPr>
          <w:szCs w:val="24"/>
        </w:rPr>
        <w:t>In order to effectively evaluate our progress towards meeting student equity goals, the college will rely on the collaboration between Office of Institutional Effectiveness and the Division of Student Services. A task force that is comprised of both departments will meet to establish or clarify equity goals and identify programs designed to address equity gaps. A research analyst from the OIE will meet with each program to support their evaluation timeline and process. The evaluation cycle will include 1. Review of the mission, goals of the program/project/service, 2. establish outcomes or targets that will determine success criteria, 3. Implement program/service/project, 4. Determine effectiveness through assessment and analysis, 5. Use the results from the assessment to adjust the program, if needed. All programs that receive SEA funding will collect formative data, including surveys, output reports, and focus groups, at scheduled intervals throughout the academic year in order to complete a required annual self-evaluation.  Information from these evaluations will help determine if changes are needed to meet the equity gaps as outlined in this plan.  The advisory committee will review programs for direct or indirect impact on equity gap(s) as it relates to a specific area(s), measurable outcomes, evaluation plan and timeline, scalability and coordination with an existing college plan or initiative, such as Guided Pathways, Strong Workforce Program, Vision 2020, etc.</w:t>
      </w:r>
    </w:p>
    <w:p w:rsidR="00E06203" w:rsidRDefault="00E06203" w:rsidP="00E06203">
      <w:pPr>
        <w:pStyle w:val="ListParagraph"/>
        <w:ind w:firstLine="0"/>
        <w:rPr>
          <w:szCs w:val="24"/>
        </w:rPr>
      </w:pPr>
    </w:p>
    <w:p w:rsidR="00E06203" w:rsidRDefault="00E06203" w:rsidP="00E06203">
      <w:pPr>
        <w:pStyle w:val="ListParagraph"/>
        <w:ind w:firstLine="0"/>
        <w:rPr>
          <w:szCs w:val="24"/>
        </w:rPr>
      </w:pPr>
    </w:p>
    <w:p w:rsidR="00E06203" w:rsidRPr="00E06203" w:rsidRDefault="00E06203" w:rsidP="00E06203">
      <w:pPr>
        <w:pStyle w:val="ListParagraph"/>
        <w:numPr>
          <w:ilvl w:val="0"/>
          <w:numId w:val="28"/>
        </w:numPr>
        <w:rPr>
          <w:b/>
          <w:szCs w:val="24"/>
        </w:rPr>
      </w:pPr>
      <w:r w:rsidRPr="00E06203">
        <w:rPr>
          <w:b/>
          <w:szCs w:val="24"/>
        </w:rPr>
        <w:t>Success Criteria</w:t>
      </w:r>
    </w:p>
    <w:p w:rsidR="00E06203" w:rsidRDefault="00E06203" w:rsidP="00E06203">
      <w:pPr>
        <w:pStyle w:val="ListParagraph"/>
        <w:ind w:firstLine="0"/>
        <w:rPr>
          <w:szCs w:val="24"/>
        </w:rPr>
      </w:pPr>
      <w:r w:rsidRPr="00E06203">
        <w:rPr>
          <w:szCs w:val="24"/>
        </w:rPr>
        <w:t xml:space="preserve">Pierce College thrives through its collaboration between faculty, students, staff, senior management, departments, and shared governance committees. Planning and implementation for this plan is no different. Pierce College will hold monthly Student Equity and Achievement Program Advisory Committee (SEAPAC) meetings. This group will serve as advisory to appropriate college bodies and administration with a focus on equitable practices and process in the effort to close student equity gaps at Los Angeles Pierce College. SEAPAC will help ensure all student equity programmatic efforts aligns with the student equity plan’s goals and objectives in accordance with the California Code Regulation Title 5, as well as align with other campus-based programs and the college’s Strategic Master Plan. To help achieve this, the composition of SEAPAC will include representatives from senior management, Academic Senate, the Office of Institutional Effectiveness, Guided Pathways, the student body and other related campus programs such as Academic Outreach, Financial Aid, Counseling and New Student Programs. </w:t>
      </w:r>
    </w:p>
    <w:p w:rsidR="00E06203" w:rsidRPr="00E06203" w:rsidRDefault="00E06203" w:rsidP="00E06203">
      <w:pPr>
        <w:pStyle w:val="ListParagraph"/>
        <w:ind w:firstLine="0"/>
        <w:rPr>
          <w:szCs w:val="24"/>
        </w:rPr>
      </w:pPr>
    </w:p>
    <w:p w:rsidR="00846678" w:rsidRPr="00EF1A2B" w:rsidRDefault="00E06203" w:rsidP="00E06203">
      <w:pPr>
        <w:pStyle w:val="ListParagraph"/>
        <w:ind w:firstLine="0"/>
        <w:rPr>
          <w:szCs w:val="24"/>
        </w:rPr>
      </w:pPr>
      <w:r w:rsidRPr="00E06203">
        <w:rPr>
          <w:szCs w:val="24"/>
        </w:rPr>
        <w:t>SEAPAC will report monthly to the Student Success Committee, which is a sub-committee of the Senate, as well as the College Planning Committee, which is a sub-committee of the Pierce College Coun</w:t>
      </w:r>
      <w:r>
        <w:rPr>
          <w:szCs w:val="24"/>
        </w:rPr>
        <w:t>ci</w:t>
      </w:r>
      <w:r w:rsidRPr="00E06203">
        <w:rPr>
          <w:szCs w:val="24"/>
        </w:rPr>
        <w:t>l.  Proposed changes to the overarching Student Equity and Achievement plan goals and outcomes will be communicated to the Student Success Committee of the Academic Senate by the Student Equity and Achievement advisory board. The Student Success Committee will sunshine, discuss, and make recommendations to the Academic Senate. The Academic Senate will then sunshine, discuss and make recommendations to the College President or designee.</w:t>
      </w:r>
      <w:r w:rsidR="00846678" w:rsidRPr="00EF1A2B">
        <w:rPr>
          <w:szCs w:val="24"/>
        </w:rPr>
        <w:br w:type="page"/>
      </w:r>
    </w:p>
    <w:p w:rsidR="00C62B4D" w:rsidRPr="00B6747A" w:rsidRDefault="00C62B4D">
      <w:pPr>
        <w:ind w:left="920" w:right="970"/>
        <w:rPr>
          <w:b/>
          <w:u w:val="single"/>
        </w:rPr>
      </w:pPr>
    </w:p>
    <w:p w:rsidR="00B6747A" w:rsidRPr="00B6747A" w:rsidRDefault="00B6747A" w:rsidP="007104FA">
      <w:pPr>
        <w:pStyle w:val="Heading6"/>
        <w:numPr>
          <w:ilvl w:val="0"/>
          <w:numId w:val="28"/>
        </w:numPr>
      </w:pPr>
      <w:r w:rsidRPr="00B6747A">
        <w:t>Contact Person/Equity Coordinator Information</w:t>
      </w:r>
    </w:p>
    <w:p w:rsidR="00B6747A" w:rsidRDefault="00B6747A">
      <w:pPr>
        <w:ind w:left="920" w:right="970"/>
      </w:pPr>
    </w:p>
    <w:p w:rsidR="00C62B4D" w:rsidRDefault="00C62B4D">
      <w:pPr>
        <w:spacing w:line="267" w:lineRule="exact"/>
        <w:ind w:left="920"/>
        <w:sectPr w:rsidR="00C62B4D" w:rsidSect="00C62B4D">
          <w:headerReference w:type="default" r:id="rId8"/>
          <w:footerReference w:type="default" r:id="rId9"/>
          <w:type w:val="continuous"/>
          <w:pgSz w:w="12240" w:h="15840"/>
          <w:pgMar w:top="720" w:right="720" w:bottom="720" w:left="720" w:header="720" w:footer="720" w:gutter="0"/>
          <w:cols w:space="720"/>
        </w:sectPr>
      </w:pPr>
    </w:p>
    <w:p w:rsidR="00BC3A0F" w:rsidRDefault="001655FB">
      <w:pPr>
        <w:spacing w:line="267" w:lineRule="exact"/>
        <w:ind w:left="920"/>
      </w:pPr>
      <w:r>
        <w:t xml:space="preserve">Earic </w:t>
      </w:r>
      <w:r w:rsidR="00530D0A">
        <w:t>Dixon-</w:t>
      </w:r>
      <w:r>
        <w:t>Peters</w:t>
      </w:r>
    </w:p>
    <w:p w:rsidR="007104FA" w:rsidRDefault="001655FB" w:rsidP="007104FA">
      <w:pPr>
        <w:ind w:left="920" w:right="990"/>
      </w:pPr>
      <w:r>
        <w:t>Vice President, Student</w:t>
      </w:r>
      <w:r w:rsidR="007104FA">
        <w:t xml:space="preserve"> Service</w:t>
      </w:r>
      <w:r w:rsidR="00530D0A">
        <w:t>s</w:t>
      </w:r>
    </w:p>
    <w:p w:rsidR="00BC3A0F" w:rsidRDefault="001655FB" w:rsidP="007104FA">
      <w:pPr>
        <w:ind w:left="920" w:right="990"/>
      </w:pPr>
      <w:r>
        <w:t>818-719-6418</w:t>
      </w:r>
    </w:p>
    <w:p w:rsidR="00BC3A0F" w:rsidRDefault="001E5159">
      <w:pPr>
        <w:ind w:left="920"/>
      </w:pPr>
      <w:hyperlink r:id="rId10">
        <w:r w:rsidR="001655FB">
          <w:t>peterseb@piercecollege.edu</w:t>
        </w:r>
      </w:hyperlink>
    </w:p>
    <w:p w:rsidR="00BC3A0F" w:rsidRDefault="00BC3A0F"/>
    <w:p w:rsidR="00530D0A" w:rsidRDefault="00530D0A" w:rsidP="00D6063A">
      <w:pPr>
        <w:ind w:left="900"/>
      </w:pPr>
      <w:r>
        <w:t>Crystal Kiekel</w:t>
      </w:r>
    </w:p>
    <w:p w:rsidR="00530D0A" w:rsidRDefault="00530D0A" w:rsidP="00D6063A">
      <w:pPr>
        <w:ind w:left="900"/>
      </w:pPr>
      <w:r>
        <w:t>Director of Center for Academic Success</w:t>
      </w:r>
    </w:p>
    <w:p w:rsidR="00530D0A" w:rsidRDefault="00530D0A" w:rsidP="00D6063A">
      <w:pPr>
        <w:ind w:left="900"/>
      </w:pPr>
      <w:r>
        <w:t>818-710-6414</w:t>
      </w:r>
    </w:p>
    <w:p w:rsidR="00530D0A" w:rsidRPr="00D6063A" w:rsidRDefault="001E5159" w:rsidP="00D6063A">
      <w:pPr>
        <w:ind w:left="900"/>
      </w:pPr>
      <w:hyperlink r:id="rId11" w:history="1">
        <w:r w:rsidR="00530D0A" w:rsidRPr="00D6063A">
          <w:rPr>
            <w:rStyle w:val="Hyperlink"/>
            <w:color w:val="auto"/>
            <w:u w:val="none"/>
          </w:rPr>
          <w:t>kiekelcr@piercecollege.edu</w:t>
        </w:r>
      </w:hyperlink>
    </w:p>
    <w:p w:rsidR="00530D0A" w:rsidRDefault="00530D0A" w:rsidP="00D6063A">
      <w:pPr>
        <w:ind w:left="900"/>
      </w:pPr>
    </w:p>
    <w:p w:rsidR="00530D0A" w:rsidRDefault="00530D0A" w:rsidP="00D6063A">
      <w:pPr>
        <w:ind w:left="900"/>
      </w:pPr>
      <w:r>
        <w:t>Kalynda McLean</w:t>
      </w:r>
    </w:p>
    <w:p w:rsidR="00D6063A" w:rsidRDefault="00530D0A" w:rsidP="00D6063A">
      <w:pPr>
        <w:ind w:left="900"/>
      </w:pPr>
      <w:r>
        <w:t>Dean of Student Success</w:t>
      </w:r>
    </w:p>
    <w:p w:rsidR="00530D0A" w:rsidRDefault="00530D0A" w:rsidP="00D6063A">
      <w:pPr>
        <w:ind w:left="900"/>
      </w:pPr>
      <w:r>
        <w:t>818-710-6567</w:t>
      </w:r>
    </w:p>
    <w:p w:rsidR="00530D0A" w:rsidRPr="002134BC" w:rsidRDefault="001E5159" w:rsidP="00D6063A">
      <w:pPr>
        <w:ind w:left="900"/>
      </w:pPr>
      <w:hyperlink r:id="rId12" w:history="1">
        <w:r w:rsidR="002134BC" w:rsidRPr="002134BC">
          <w:rPr>
            <w:rStyle w:val="Hyperlink"/>
            <w:color w:val="auto"/>
            <w:u w:val="none"/>
          </w:rPr>
          <w:t>mcleankw@piercecollege.edu</w:t>
        </w:r>
      </w:hyperlink>
    </w:p>
    <w:p w:rsidR="002134BC" w:rsidRDefault="002134BC" w:rsidP="00D6063A">
      <w:pPr>
        <w:ind w:left="900"/>
      </w:pPr>
    </w:p>
    <w:p w:rsidR="00C62B4D" w:rsidRDefault="00C62B4D" w:rsidP="00721619">
      <w:pPr>
        <w:ind w:left="900"/>
      </w:pPr>
      <w:r>
        <w:t>Genice Sarcedo-Magruder</w:t>
      </w:r>
    </w:p>
    <w:p w:rsidR="00C62B4D" w:rsidRDefault="00C62B4D" w:rsidP="00721619">
      <w:pPr>
        <w:ind w:left="900"/>
      </w:pPr>
      <w:r>
        <w:t>Dean of Student Services and Equity</w:t>
      </w:r>
    </w:p>
    <w:p w:rsidR="00C62B4D" w:rsidRDefault="00C62B4D" w:rsidP="00721619">
      <w:pPr>
        <w:ind w:left="900"/>
      </w:pPr>
      <w:r>
        <w:t>818-710-3318</w:t>
      </w:r>
    </w:p>
    <w:p w:rsidR="00C62B4D" w:rsidRDefault="00C62B4D" w:rsidP="00721619">
      <w:pPr>
        <w:ind w:left="900"/>
      </w:pPr>
      <w:r>
        <w:t>sarcedg@piercecollege.edu</w:t>
      </w:r>
    </w:p>
    <w:p w:rsidR="00C62B4D" w:rsidRDefault="00C62B4D" w:rsidP="00721619">
      <w:pPr>
        <w:ind w:left="900"/>
      </w:pPr>
    </w:p>
    <w:p w:rsidR="00C62B4D" w:rsidRDefault="00C62B4D" w:rsidP="00721619">
      <w:pPr>
        <w:ind w:left="900"/>
      </w:pPr>
      <w:r>
        <w:t xml:space="preserve">Ngan Mork </w:t>
      </w:r>
    </w:p>
    <w:p w:rsidR="00C62B4D" w:rsidRDefault="00C62B4D" w:rsidP="00721619">
      <w:pPr>
        <w:ind w:left="900"/>
      </w:pPr>
      <w:r>
        <w:t>Student Programs Specialist</w:t>
      </w:r>
    </w:p>
    <w:p w:rsidR="00C62B4D" w:rsidRDefault="00C62B4D" w:rsidP="00721619">
      <w:pPr>
        <w:ind w:left="900"/>
      </w:pPr>
      <w:r>
        <w:t>818-712-2656</w:t>
      </w:r>
    </w:p>
    <w:p w:rsidR="00C62B4D" w:rsidRDefault="00C62B4D" w:rsidP="002A0B6C">
      <w:pPr>
        <w:ind w:left="900"/>
        <w:sectPr w:rsidR="00C62B4D" w:rsidSect="00C62B4D">
          <w:type w:val="continuous"/>
          <w:pgSz w:w="12240" w:h="15840"/>
          <w:pgMar w:top="720" w:right="720" w:bottom="720" w:left="720" w:header="720" w:footer="720" w:gutter="0"/>
          <w:cols w:num="2" w:space="720"/>
        </w:sectPr>
      </w:pPr>
      <w:r>
        <w:t>morknt@piercecollege.</w:t>
      </w:r>
      <w:r w:rsidR="008610B1">
        <w:t>edu</w:t>
      </w:r>
    </w:p>
    <w:p w:rsidR="00BC3A0F" w:rsidRDefault="00BC3A0F" w:rsidP="002A0B6C">
      <w:pPr>
        <w:pStyle w:val="BodyText"/>
        <w:rPr>
          <w:rFonts w:ascii="Times New Roman"/>
          <w:sz w:val="17"/>
        </w:rPr>
      </w:pPr>
    </w:p>
    <w:sectPr w:rsidR="00BC3A0F" w:rsidSect="00543A3A">
      <w:headerReference w:type="default" r:id="rId13"/>
      <w:footerReference w:type="default" r:id="rId14"/>
      <w:pgSz w:w="12240" w:h="15840"/>
      <w:pgMar w:top="1500" w:right="0" w:bottom="960" w:left="1300" w:header="0" w:footer="762" w:gutter="0"/>
      <w:pgNumType w:start="9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875" w:rsidRDefault="00016875">
      <w:r>
        <w:separator/>
      </w:r>
    </w:p>
  </w:endnote>
  <w:endnote w:type="continuationSeparator" w:id="0">
    <w:p w:rsidR="00016875" w:rsidRDefault="0001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958900"/>
      <w:docPartObj>
        <w:docPartGallery w:val="Page Numbers (Bottom of Page)"/>
        <w:docPartUnique/>
      </w:docPartObj>
    </w:sdtPr>
    <w:sdtEndPr>
      <w:rPr>
        <w:noProof/>
      </w:rPr>
    </w:sdtEndPr>
    <w:sdtContent>
      <w:p w:rsidR="001E5159" w:rsidRDefault="001E5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E5159" w:rsidRDefault="001E5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59" w:rsidRDefault="001E515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875" w:rsidRDefault="00016875">
      <w:r>
        <w:separator/>
      </w:r>
    </w:p>
  </w:footnote>
  <w:footnote w:type="continuationSeparator" w:id="0">
    <w:p w:rsidR="00016875" w:rsidRDefault="0001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59" w:rsidRDefault="001E5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159" w:rsidRDefault="001E515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3FFB"/>
    <w:multiLevelType w:val="hybridMultilevel"/>
    <w:tmpl w:val="5D1A0594"/>
    <w:lvl w:ilvl="0" w:tplc="440C175C">
      <w:numFmt w:val="bullet"/>
      <w:lvlText w:val=""/>
      <w:lvlJc w:val="left"/>
      <w:pPr>
        <w:ind w:left="520" w:hanging="418"/>
      </w:pPr>
      <w:rPr>
        <w:rFonts w:ascii="Wingdings" w:eastAsia="Wingdings" w:hAnsi="Wingdings" w:cs="Wingdings" w:hint="default"/>
        <w:w w:val="100"/>
        <w:sz w:val="22"/>
        <w:szCs w:val="22"/>
        <w:lang w:val="en-US" w:eastAsia="en-US" w:bidi="en-US"/>
      </w:rPr>
    </w:lvl>
    <w:lvl w:ilvl="1" w:tplc="A3568D50">
      <w:numFmt w:val="bullet"/>
      <w:lvlText w:val="•"/>
      <w:lvlJc w:val="left"/>
      <w:pPr>
        <w:ind w:left="1846" w:hanging="418"/>
      </w:pPr>
      <w:rPr>
        <w:rFonts w:hint="default"/>
        <w:lang w:val="en-US" w:eastAsia="en-US" w:bidi="en-US"/>
      </w:rPr>
    </w:lvl>
    <w:lvl w:ilvl="2" w:tplc="DC8A4690">
      <w:numFmt w:val="bullet"/>
      <w:lvlText w:val="•"/>
      <w:lvlJc w:val="left"/>
      <w:pPr>
        <w:ind w:left="3172" w:hanging="418"/>
      </w:pPr>
      <w:rPr>
        <w:rFonts w:hint="default"/>
        <w:lang w:val="en-US" w:eastAsia="en-US" w:bidi="en-US"/>
      </w:rPr>
    </w:lvl>
    <w:lvl w:ilvl="3" w:tplc="5D9217E8">
      <w:numFmt w:val="bullet"/>
      <w:lvlText w:val="•"/>
      <w:lvlJc w:val="left"/>
      <w:pPr>
        <w:ind w:left="4498" w:hanging="418"/>
      </w:pPr>
      <w:rPr>
        <w:rFonts w:hint="default"/>
        <w:lang w:val="en-US" w:eastAsia="en-US" w:bidi="en-US"/>
      </w:rPr>
    </w:lvl>
    <w:lvl w:ilvl="4" w:tplc="7DA0F396">
      <w:numFmt w:val="bullet"/>
      <w:lvlText w:val="•"/>
      <w:lvlJc w:val="left"/>
      <w:pPr>
        <w:ind w:left="5824" w:hanging="418"/>
      </w:pPr>
      <w:rPr>
        <w:rFonts w:hint="default"/>
        <w:lang w:val="en-US" w:eastAsia="en-US" w:bidi="en-US"/>
      </w:rPr>
    </w:lvl>
    <w:lvl w:ilvl="5" w:tplc="7C2C31D0">
      <w:numFmt w:val="bullet"/>
      <w:lvlText w:val="•"/>
      <w:lvlJc w:val="left"/>
      <w:pPr>
        <w:ind w:left="7150" w:hanging="418"/>
      </w:pPr>
      <w:rPr>
        <w:rFonts w:hint="default"/>
        <w:lang w:val="en-US" w:eastAsia="en-US" w:bidi="en-US"/>
      </w:rPr>
    </w:lvl>
    <w:lvl w:ilvl="6" w:tplc="7B5016E2">
      <w:numFmt w:val="bullet"/>
      <w:lvlText w:val="•"/>
      <w:lvlJc w:val="left"/>
      <w:pPr>
        <w:ind w:left="8476" w:hanging="418"/>
      </w:pPr>
      <w:rPr>
        <w:rFonts w:hint="default"/>
        <w:lang w:val="en-US" w:eastAsia="en-US" w:bidi="en-US"/>
      </w:rPr>
    </w:lvl>
    <w:lvl w:ilvl="7" w:tplc="2A2081BC">
      <w:numFmt w:val="bullet"/>
      <w:lvlText w:val="•"/>
      <w:lvlJc w:val="left"/>
      <w:pPr>
        <w:ind w:left="9802" w:hanging="418"/>
      </w:pPr>
      <w:rPr>
        <w:rFonts w:hint="default"/>
        <w:lang w:val="en-US" w:eastAsia="en-US" w:bidi="en-US"/>
      </w:rPr>
    </w:lvl>
    <w:lvl w:ilvl="8" w:tplc="6D1076F2">
      <w:numFmt w:val="bullet"/>
      <w:lvlText w:val="•"/>
      <w:lvlJc w:val="left"/>
      <w:pPr>
        <w:ind w:left="11128" w:hanging="418"/>
      </w:pPr>
      <w:rPr>
        <w:rFonts w:hint="default"/>
        <w:lang w:val="en-US" w:eastAsia="en-US" w:bidi="en-US"/>
      </w:rPr>
    </w:lvl>
  </w:abstractNum>
  <w:abstractNum w:abstractNumId="1" w15:restartNumberingAfterBreak="0">
    <w:nsid w:val="083F1910"/>
    <w:multiLevelType w:val="hybridMultilevel"/>
    <w:tmpl w:val="8B801624"/>
    <w:lvl w:ilvl="0" w:tplc="557AAE2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0065AA2"/>
    <w:multiLevelType w:val="hybridMultilevel"/>
    <w:tmpl w:val="89FC1842"/>
    <w:lvl w:ilvl="0" w:tplc="25848A5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7B11882"/>
    <w:multiLevelType w:val="hybridMultilevel"/>
    <w:tmpl w:val="512A21E4"/>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 w15:restartNumberingAfterBreak="0">
    <w:nsid w:val="19F32815"/>
    <w:multiLevelType w:val="hybridMultilevel"/>
    <w:tmpl w:val="B1E2DFE8"/>
    <w:lvl w:ilvl="0" w:tplc="4F664B26">
      <w:start w:val="1"/>
      <w:numFmt w:val="upperLetter"/>
      <w:lvlText w:val="%1."/>
      <w:lvlJc w:val="left"/>
      <w:pPr>
        <w:ind w:left="1280" w:hanging="360"/>
        <w:jc w:val="right"/>
      </w:pPr>
      <w:rPr>
        <w:rFonts w:ascii="Calibri" w:eastAsia="Calibri" w:hAnsi="Calibri" w:cs="Calibri" w:hint="default"/>
        <w:b/>
        <w:bCs/>
        <w:spacing w:val="-14"/>
        <w:w w:val="100"/>
        <w:sz w:val="24"/>
        <w:szCs w:val="24"/>
        <w:lang w:val="en-US" w:eastAsia="en-US" w:bidi="en-US"/>
      </w:rPr>
    </w:lvl>
    <w:lvl w:ilvl="1" w:tplc="6E007CFE">
      <w:numFmt w:val="bullet"/>
      <w:lvlText w:val="•"/>
      <w:lvlJc w:val="left"/>
      <w:pPr>
        <w:ind w:left="2274" w:hanging="360"/>
      </w:pPr>
      <w:rPr>
        <w:rFonts w:hint="default"/>
        <w:lang w:val="en-US" w:eastAsia="en-US" w:bidi="en-US"/>
      </w:rPr>
    </w:lvl>
    <w:lvl w:ilvl="2" w:tplc="BAC25230">
      <w:numFmt w:val="bullet"/>
      <w:lvlText w:val="•"/>
      <w:lvlJc w:val="left"/>
      <w:pPr>
        <w:ind w:left="3268" w:hanging="360"/>
      </w:pPr>
      <w:rPr>
        <w:rFonts w:hint="default"/>
        <w:lang w:val="en-US" w:eastAsia="en-US" w:bidi="en-US"/>
      </w:rPr>
    </w:lvl>
    <w:lvl w:ilvl="3" w:tplc="6CE4FFD6">
      <w:numFmt w:val="bullet"/>
      <w:lvlText w:val="•"/>
      <w:lvlJc w:val="left"/>
      <w:pPr>
        <w:ind w:left="4262" w:hanging="360"/>
      </w:pPr>
      <w:rPr>
        <w:rFonts w:hint="default"/>
        <w:lang w:val="en-US" w:eastAsia="en-US" w:bidi="en-US"/>
      </w:rPr>
    </w:lvl>
    <w:lvl w:ilvl="4" w:tplc="679E716C">
      <w:numFmt w:val="bullet"/>
      <w:lvlText w:val="•"/>
      <w:lvlJc w:val="left"/>
      <w:pPr>
        <w:ind w:left="5256" w:hanging="360"/>
      </w:pPr>
      <w:rPr>
        <w:rFonts w:hint="default"/>
        <w:lang w:val="en-US" w:eastAsia="en-US" w:bidi="en-US"/>
      </w:rPr>
    </w:lvl>
    <w:lvl w:ilvl="5" w:tplc="D870F2D2">
      <w:numFmt w:val="bullet"/>
      <w:lvlText w:val="•"/>
      <w:lvlJc w:val="left"/>
      <w:pPr>
        <w:ind w:left="6250" w:hanging="360"/>
      </w:pPr>
      <w:rPr>
        <w:rFonts w:hint="default"/>
        <w:lang w:val="en-US" w:eastAsia="en-US" w:bidi="en-US"/>
      </w:rPr>
    </w:lvl>
    <w:lvl w:ilvl="6" w:tplc="2B4A1E62">
      <w:numFmt w:val="bullet"/>
      <w:lvlText w:val="•"/>
      <w:lvlJc w:val="left"/>
      <w:pPr>
        <w:ind w:left="7244" w:hanging="360"/>
      </w:pPr>
      <w:rPr>
        <w:rFonts w:hint="default"/>
        <w:lang w:val="en-US" w:eastAsia="en-US" w:bidi="en-US"/>
      </w:rPr>
    </w:lvl>
    <w:lvl w:ilvl="7" w:tplc="E5BC23BC">
      <w:numFmt w:val="bullet"/>
      <w:lvlText w:val="•"/>
      <w:lvlJc w:val="left"/>
      <w:pPr>
        <w:ind w:left="8238" w:hanging="360"/>
      </w:pPr>
      <w:rPr>
        <w:rFonts w:hint="default"/>
        <w:lang w:val="en-US" w:eastAsia="en-US" w:bidi="en-US"/>
      </w:rPr>
    </w:lvl>
    <w:lvl w:ilvl="8" w:tplc="2AA095AC">
      <w:numFmt w:val="bullet"/>
      <w:lvlText w:val="•"/>
      <w:lvlJc w:val="left"/>
      <w:pPr>
        <w:ind w:left="9232" w:hanging="360"/>
      </w:pPr>
      <w:rPr>
        <w:rFonts w:hint="default"/>
        <w:lang w:val="en-US" w:eastAsia="en-US" w:bidi="en-US"/>
      </w:rPr>
    </w:lvl>
  </w:abstractNum>
  <w:abstractNum w:abstractNumId="5" w15:restartNumberingAfterBreak="0">
    <w:nsid w:val="1CF80478"/>
    <w:multiLevelType w:val="multilevel"/>
    <w:tmpl w:val="CA0EFA92"/>
    <w:lvl w:ilvl="0">
      <w:start w:val="4"/>
      <w:numFmt w:val="upperLetter"/>
      <w:lvlText w:val="%1."/>
      <w:lvlJc w:val="left"/>
      <w:pPr>
        <w:ind w:left="500" w:hanging="360"/>
        <w:jc w:val="right"/>
      </w:pPr>
      <w:rPr>
        <w:rFonts w:ascii="Calibri" w:eastAsia="Calibri" w:hAnsi="Calibri" w:cs="Calibri" w:hint="default"/>
        <w:b/>
        <w:bCs/>
        <w:spacing w:val="-19"/>
        <w:w w:val="100"/>
        <w:sz w:val="24"/>
        <w:szCs w:val="24"/>
        <w:lang w:val="en-US" w:eastAsia="en-US" w:bidi="en-US"/>
      </w:rPr>
    </w:lvl>
    <w:lvl w:ilvl="1">
      <w:start w:val="1"/>
      <w:numFmt w:val="decimal"/>
      <w:lvlText w:val="%1.%2"/>
      <w:lvlJc w:val="left"/>
      <w:pPr>
        <w:ind w:left="140" w:hanging="394"/>
      </w:pPr>
      <w:rPr>
        <w:rFonts w:ascii="Calibri" w:eastAsia="Calibri" w:hAnsi="Calibri" w:cs="Calibri" w:hint="default"/>
        <w:b/>
        <w:bCs/>
        <w:spacing w:val="-1"/>
        <w:w w:val="100"/>
        <w:sz w:val="24"/>
        <w:szCs w:val="24"/>
        <w:lang w:val="en-US" w:eastAsia="en-US" w:bidi="en-US"/>
      </w:rPr>
    </w:lvl>
    <w:lvl w:ilvl="2">
      <w:numFmt w:val="bullet"/>
      <w:lvlText w:val=""/>
      <w:lvlJc w:val="left"/>
      <w:pPr>
        <w:ind w:left="514" w:hanging="188"/>
      </w:pPr>
      <w:rPr>
        <w:rFonts w:ascii="Symbol" w:eastAsia="Symbol" w:hAnsi="Symbol" w:cs="Symbol" w:hint="default"/>
        <w:w w:val="100"/>
        <w:sz w:val="24"/>
        <w:szCs w:val="24"/>
        <w:lang w:val="en-US" w:eastAsia="en-US" w:bidi="en-US"/>
      </w:rPr>
    </w:lvl>
    <w:lvl w:ilvl="3">
      <w:numFmt w:val="bullet"/>
      <w:lvlText w:val=""/>
      <w:lvlJc w:val="left"/>
      <w:pPr>
        <w:ind w:left="860" w:hanging="360"/>
      </w:pPr>
      <w:rPr>
        <w:rFonts w:ascii="Symbol" w:eastAsia="Symbol" w:hAnsi="Symbol" w:cs="Symbol" w:hint="default"/>
        <w:w w:val="100"/>
        <w:sz w:val="24"/>
        <w:szCs w:val="24"/>
        <w:lang w:val="en-US" w:eastAsia="en-US" w:bidi="en-US"/>
      </w:rPr>
    </w:lvl>
    <w:lvl w:ilvl="4">
      <w:numFmt w:val="bullet"/>
      <w:lvlText w:val="•"/>
      <w:lvlJc w:val="left"/>
      <w:pPr>
        <w:ind w:left="2120" w:hanging="360"/>
      </w:pPr>
      <w:rPr>
        <w:rFonts w:hint="default"/>
        <w:lang w:val="en-US" w:eastAsia="en-US" w:bidi="en-US"/>
      </w:rPr>
    </w:lvl>
    <w:lvl w:ilvl="5">
      <w:numFmt w:val="bullet"/>
      <w:lvlText w:val="•"/>
      <w:lvlJc w:val="left"/>
      <w:pPr>
        <w:ind w:left="3380" w:hanging="360"/>
      </w:pPr>
      <w:rPr>
        <w:rFonts w:hint="default"/>
        <w:lang w:val="en-US" w:eastAsia="en-US" w:bidi="en-US"/>
      </w:rPr>
    </w:lvl>
    <w:lvl w:ilvl="6">
      <w:numFmt w:val="bullet"/>
      <w:lvlText w:val="•"/>
      <w:lvlJc w:val="left"/>
      <w:pPr>
        <w:ind w:left="4640" w:hanging="360"/>
      </w:pPr>
      <w:rPr>
        <w:rFonts w:hint="default"/>
        <w:lang w:val="en-US" w:eastAsia="en-US" w:bidi="en-US"/>
      </w:rPr>
    </w:lvl>
    <w:lvl w:ilvl="7">
      <w:numFmt w:val="bullet"/>
      <w:lvlText w:val="•"/>
      <w:lvlJc w:val="left"/>
      <w:pPr>
        <w:ind w:left="5900" w:hanging="360"/>
      </w:pPr>
      <w:rPr>
        <w:rFonts w:hint="default"/>
        <w:lang w:val="en-US" w:eastAsia="en-US" w:bidi="en-US"/>
      </w:rPr>
    </w:lvl>
    <w:lvl w:ilvl="8">
      <w:numFmt w:val="bullet"/>
      <w:lvlText w:val="•"/>
      <w:lvlJc w:val="left"/>
      <w:pPr>
        <w:ind w:left="7160" w:hanging="360"/>
      </w:pPr>
      <w:rPr>
        <w:rFonts w:hint="default"/>
        <w:lang w:val="en-US" w:eastAsia="en-US" w:bidi="en-US"/>
      </w:rPr>
    </w:lvl>
  </w:abstractNum>
  <w:abstractNum w:abstractNumId="6" w15:restartNumberingAfterBreak="0">
    <w:nsid w:val="1E04260E"/>
    <w:multiLevelType w:val="hybridMultilevel"/>
    <w:tmpl w:val="54D04A54"/>
    <w:lvl w:ilvl="0" w:tplc="C220EA4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1E17C04"/>
    <w:multiLevelType w:val="hybridMultilevel"/>
    <w:tmpl w:val="0DD87210"/>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8" w15:restartNumberingAfterBreak="0">
    <w:nsid w:val="2D166E1C"/>
    <w:multiLevelType w:val="hybridMultilevel"/>
    <w:tmpl w:val="6062E994"/>
    <w:lvl w:ilvl="0" w:tplc="A4865AD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1FE2769"/>
    <w:multiLevelType w:val="multilevel"/>
    <w:tmpl w:val="6B262038"/>
    <w:lvl w:ilvl="0">
      <w:start w:val="6"/>
      <w:numFmt w:val="upperLetter"/>
      <w:lvlText w:val="%1"/>
      <w:lvlJc w:val="left"/>
      <w:pPr>
        <w:ind w:left="492" w:hanging="353"/>
      </w:pPr>
      <w:rPr>
        <w:rFonts w:hint="default"/>
        <w:lang w:val="en-US" w:eastAsia="en-US" w:bidi="en-US"/>
      </w:rPr>
    </w:lvl>
    <w:lvl w:ilvl="1">
      <w:start w:val="2"/>
      <w:numFmt w:val="decimal"/>
      <w:lvlText w:val="%1.%2"/>
      <w:lvlJc w:val="left"/>
      <w:pPr>
        <w:ind w:left="492" w:hanging="353"/>
      </w:pPr>
      <w:rPr>
        <w:rFonts w:hint="default"/>
        <w:b/>
        <w:bCs/>
        <w:w w:val="100"/>
        <w:lang w:val="en-US" w:eastAsia="en-US" w:bidi="en-US"/>
      </w:rPr>
    </w:lvl>
    <w:lvl w:ilvl="2">
      <w:numFmt w:val="bullet"/>
      <w:lvlText w:val=""/>
      <w:lvlJc w:val="left"/>
      <w:pPr>
        <w:ind w:left="514" w:hanging="188"/>
      </w:pPr>
      <w:rPr>
        <w:rFonts w:ascii="Symbol" w:eastAsia="Symbol" w:hAnsi="Symbol" w:cs="Symbol" w:hint="default"/>
        <w:w w:val="100"/>
        <w:sz w:val="24"/>
        <w:szCs w:val="24"/>
        <w:lang w:val="en-US" w:eastAsia="en-US" w:bidi="en-US"/>
      </w:rPr>
    </w:lvl>
    <w:lvl w:ilvl="3">
      <w:numFmt w:val="bullet"/>
      <w:lvlText w:val=""/>
      <w:lvlJc w:val="left"/>
      <w:pPr>
        <w:ind w:left="860" w:hanging="360"/>
      </w:pPr>
      <w:rPr>
        <w:rFonts w:ascii="Symbol" w:eastAsia="Symbol" w:hAnsi="Symbol" w:cs="Symbol" w:hint="default"/>
        <w:w w:val="100"/>
        <w:sz w:val="24"/>
        <w:szCs w:val="24"/>
        <w:lang w:val="en-US" w:eastAsia="en-US" w:bidi="en-US"/>
      </w:rPr>
    </w:lvl>
    <w:lvl w:ilvl="4">
      <w:numFmt w:val="bullet"/>
      <w:lvlText w:val="o"/>
      <w:lvlJc w:val="left"/>
      <w:pPr>
        <w:ind w:left="1580" w:hanging="360"/>
      </w:pPr>
      <w:rPr>
        <w:rFonts w:ascii="Courier New" w:eastAsia="Courier New" w:hAnsi="Courier New" w:cs="Courier New" w:hint="default"/>
        <w:w w:val="100"/>
        <w:sz w:val="24"/>
        <w:szCs w:val="24"/>
        <w:lang w:val="en-US" w:eastAsia="en-US" w:bidi="en-US"/>
      </w:rPr>
    </w:lvl>
    <w:lvl w:ilvl="5">
      <w:numFmt w:val="bullet"/>
      <w:lvlText w:val="•"/>
      <w:lvlJc w:val="left"/>
      <w:pPr>
        <w:ind w:left="5322" w:hanging="360"/>
      </w:pPr>
      <w:rPr>
        <w:rFonts w:hint="default"/>
        <w:lang w:val="en-US" w:eastAsia="en-US" w:bidi="en-US"/>
      </w:rPr>
    </w:lvl>
    <w:lvl w:ilvl="6">
      <w:numFmt w:val="bullet"/>
      <w:lvlText w:val="•"/>
      <w:lvlJc w:val="left"/>
      <w:pPr>
        <w:ind w:left="7194" w:hanging="360"/>
      </w:pPr>
      <w:rPr>
        <w:rFonts w:hint="default"/>
        <w:lang w:val="en-US" w:eastAsia="en-US" w:bidi="en-US"/>
      </w:rPr>
    </w:lvl>
    <w:lvl w:ilvl="7">
      <w:numFmt w:val="bullet"/>
      <w:lvlText w:val="•"/>
      <w:lvlJc w:val="left"/>
      <w:pPr>
        <w:ind w:left="9065" w:hanging="360"/>
      </w:pPr>
      <w:rPr>
        <w:rFonts w:hint="default"/>
        <w:lang w:val="en-US" w:eastAsia="en-US" w:bidi="en-US"/>
      </w:rPr>
    </w:lvl>
    <w:lvl w:ilvl="8">
      <w:numFmt w:val="bullet"/>
      <w:lvlText w:val="•"/>
      <w:lvlJc w:val="left"/>
      <w:pPr>
        <w:ind w:left="10937" w:hanging="360"/>
      </w:pPr>
      <w:rPr>
        <w:rFonts w:hint="default"/>
        <w:lang w:val="en-US" w:eastAsia="en-US" w:bidi="en-US"/>
      </w:rPr>
    </w:lvl>
  </w:abstractNum>
  <w:abstractNum w:abstractNumId="10" w15:restartNumberingAfterBreak="0">
    <w:nsid w:val="3A767ECC"/>
    <w:multiLevelType w:val="multilevel"/>
    <w:tmpl w:val="6F6C1F56"/>
    <w:lvl w:ilvl="0">
      <w:start w:val="2"/>
      <w:numFmt w:val="upperLetter"/>
      <w:lvlText w:val="%1"/>
      <w:lvlJc w:val="left"/>
      <w:pPr>
        <w:ind w:left="516" w:hanging="377"/>
      </w:pPr>
      <w:rPr>
        <w:rFonts w:hint="default"/>
        <w:lang w:val="en-US" w:eastAsia="en-US" w:bidi="en-US"/>
      </w:rPr>
    </w:lvl>
    <w:lvl w:ilvl="1">
      <w:start w:val="1"/>
      <w:numFmt w:val="decimal"/>
      <w:lvlText w:val="%1.%2"/>
      <w:lvlJc w:val="left"/>
      <w:pPr>
        <w:ind w:left="516" w:hanging="377"/>
      </w:pPr>
      <w:rPr>
        <w:rFonts w:ascii="Calibri" w:eastAsia="Calibri" w:hAnsi="Calibri" w:cs="Calibri" w:hint="default"/>
        <w:b/>
        <w:bCs/>
        <w:spacing w:val="-1"/>
        <w:w w:val="100"/>
        <w:sz w:val="24"/>
        <w:szCs w:val="24"/>
        <w:lang w:val="en-US" w:eastAsia="en-US" w:bidi="en-US"/>
      </w:rPr>
    </w:lvl>
    <w:lvl w:ilvl="2">
      <w:numFmt w:val="bullet"/>
      <w:lvlText w:val="•"/>
      <w:lvlJc w:val="left"/>
      <w:pPr>
        <w:ind w:left="3352" w:hanging="377"/>
      </w:pPr>
      <w:rPr>
        <w:rFonts w:hint="default"/>
        <w:lang w:val="en-US" w:eastAsia="en-US" w:bidi="en-US"/>
      </w:rPr>
    </w:lvl>
    <w:lvl w:ilvl="3">
      <w:numFmt w:val="bullet"/>
      <w:lvlText w:val="•"/>
      <w:lvlJc w:val="left"/>
      <w:pPr>
        <w:ind w:left="4768" w:hanging="377"/>
      </w:pPr>
      <w:rPr>
        <w:rFonts w:hint="default"/>
        <w:lang w:val="en-US" w:eastAsia="en-US" w:bidi="en-US"/>
      </w:rPr>
    </w:lvl>
    <w:lvl w:ilvl="4">
      <w:numFmt w:val="bullet"/>
      <w:lvlText w:val="•"/>
      <w:lvlJc w:val="left"/>
      <w:pPr>
        <w:ind w:left="6184" w:hanging="377"/>
      </w:pPr>
      <w:rPr>
        <w:rFonts w:hint="default"/>
        <w:lang w:val="en-US" w:eastAsia="en-US" w:bidi="en-US"/>
      </w:rPr>
    </w:lvl>
    <w:lvl w:ilvl="5">
      <w:numFmt w:val="bullet"/>
      <w:lvlText w:val="•"/>
      <w:lvlJc w:val="left"/>
      <w:pPr>
        <w:ind w:left="7600" w:hanging="377"/>
      </w:pPr>
      <w:rPr>
        <w:rFonts w:hint="default"/>
        <w:lang w:val="en-US" w:eastAsia="en-US" w:bidi="en-US"/>
      </w:rPr>
    </w:lvl>
    <w:lvl w:ilvl="6">
      <w:numFmt w:val="bullet"/>
      <w:lvlText w:val="•"/>
      <w:lvlJc w:val="left"/>
      <w:pPr>
        <w:ind w:left="9016" w:hanging="377"/>
      </w:pPr>
      <w:rPr>
        <w:rFonts w:hint="default"/>
        <w:lang w:val="en-US" w:eastAsia="en-US" w:bidi="en-US"/>
      </w:rPr>
    </w:lvl>
    <w:lvl w:ilvl="7">
      <w:numFmt w:val="bullet"/>
      <w:lvlText w:val="•"/>
      <w:lvlJc w:val="left"/>
      <w:pPr>
        <w:ind w:left="10432" w:hanging="377"/>
      </w:pPr>
      <w:rPr>
        <w:rFonts w:hint="default"/>
        <w:lang w:val="en-US" w:eastAsia="en-US" w:bidi="en-US"/>
      </w:rPr>
    </w:lvl>
    <w:lvl w:ilvl="8">
      <w:numFmt w:val="bullet"/>
      <w:lvlText w:val="•"/>
      <w:lvlJc w:val="left"/>
      <w:pPr>
        <w:ind w:left="11848" w:hanging="377"/>
      </w:pPr>
      <w:rPr>
        <w:rFonts w:hint="default"/>
        <w:lang w:val="en-US" w:eastAsia="en-US" w:bidi="en-US"/>
      </w:rPr>
    </w:lvl>
  </w:abstractNum>
  <w:abstractNum w:abstractNumId="11" w15:restartNumberingAfterBreak="0">
    <w:nsid w:val="3BD231AC"/>
    <w:multiLevelType w:val="hybridMultilevel"/>
    <w:tmpl w:val="C4E89926"/>
    <w:lvl w:ilvl="0" w:tplc="AD6A307C">
      <w:numFmt w:val="bullet"/>
      <w:lvlText w:val=""/>
      <w:lvlJc w:val="left"/>
      <w:pPr>
        <w:ind w:left="520" w:hanging="418"/>
      </w:pPr>
      <w:rPr>
        <w:rFonts w:ascii="Wingdings" w:eastAsia="Wingdings" w:hAnsi="Wingdings" w:cs="Wingdings" w:hint="default"/>
        <w:w w:val="100"/>
        <w:sz w:val="22"/>
        <w:szCs w:val="22"/>
        <w:lang w:val="en-US" w:eastAsia="en-US" w:bidi="en-US"/>
      </w:rPr>
    </w:lvl>
    <w:lvl w:ilvl="1" w:tplc="7DC688B0">
      <w:numFmt w:val="bullet"/>
      <w:lvlText w:val="•"/>
      <w:lvlJc w:val="left"/>
      <w:pPr>
        <w:ind w:left="1846" w:hanging="418"/>
      </w:pPr>
      <w:rPr>
        <w:rFonts w:hint="default"/>
        <w:lang w:val="en-US" w:eastAsia="en-US" w:bidi="en-US"/>
      </w:rPr>
    </w:lvl>
    <w:lvl w:ilvl="2" w:tplc="4F92EE7A">
      <w:numFmt w:val="bullet"/>
      <w:lvlText w:val="•"/>
      <w:lvlJc w:val="left"/>
      <w:pPr>
        <w:ind w:left="3172" w:hanging="418"/>
      </w:pPr>
      <w:rPr>
        <w:rFonts w:hint="default"/>
        <w:lang w:val="en-US" w:eastAsia="en-US" w:bidi="en-US"/>
      </w:rPr>
    </w:lvl>
    <w:lvl w:ilvl="3" w:tplc="4F32B16A">
      <w:numFmt w:val="bullet"/>
      <w:lvlText w:val="•"/>
      <w:lvlJc w:val="left"/>
      <w:pPr>
        <w:ind w:left="4498" w:hanging="418"/>
      </w:pPr>
      <w:rPr>
        <w:rFonts w:hint="default"/>
        <w:lang w:val="en-US" w:eastAsia="en-US" w:bidi="en-US"/>
      </w:rPr>
    </w:lvl>
    <w:lvl w:ilvl="4" w:tplc="C406C884">
      <w:numFmt w:val="bullet"/>
      <w:lvlText w:val="•"/>
      <w:lvlJc w:val="left"/>
      <w:pPr>
        <w:ind w:left="5824" w:hanging="418"/>
      </w:pPr>
      <w:rPr>
        <w:rFonts w:hint="default"/>
        <w:lang w:val="en-US" w:eastAsia="en-US" w:bidi="en-US"/>
      </w:rPr>
    </w:lvl>
    <w:lvl w:ilvl="5" w:tplc="0FE64068">
      <w:numFmt w:val="bullet"/>
      <w:lvlText w:val="•"/>
      <w:lvlJc w:val="left"/>
      <w:pPr>
        <w:ind w:left="7150" w:hanging="418"/>
      </w:pPr>
      <w:rPr>
        <w:rFonts w:hint="default"/>
        <w:lang w:val="en-US" w:eastAsia="en-US" w:bidi="en-US"/>
      </w:rPr>
    </w:lvl>
    <w:lvl w:ilvl="6" w:tplc="57C206F2">
      <w:numFmt w:val="bullet"/>
      <w:lvlText w:val="•"/>
      <w:lvlJc w:val="left"/>
      <w:pPr>
        <w:ind w:left="8476" w:hanging="418"/>
      </w:pPr>
      <w:rPr>
        <w:rFonts w:hint="default"/>
        <w:lang w:val="en-US" w:eastAsia="en-US" w:bidi="en-US"/>
      </w:rPr>
    </w:lvl>
    <w:lvl w:ilvl="7" w:tplc="D42C5B4E">
      <w:numFmt w:val="bullet"/>
      <w:lvlText w:val="•"/>
      <w:lvlJc w:val="left"/>
      <w:pPr>
        <w:ind w:left="9802" w:hanging="418"/>
      </w:pPr>
      <w:rPr>
        <w:rFonts w:hint="default"/>
        <w:lang w:val="en-US" w:eastAsia="en-US" w:bidi="en-US"/>
      </w:rPr>
    </w:lvl>
    <w:lvl w:ilvl="8" w:tplc="2196E632">
      <w:numFmt w:val="bullet"/>
      <w:lvlText w:val="•"/>
      <w:lvlJc w:val="left"/>
      <w:pPr>
        <w:ind w:left="11128" w:hanging="418"/>
      </w:pPr>
      <w:rPr>
        <w:rFonts w:hint="default"/>
        <w:lang w:val="en-US" w:eastAsia="en-US" w:bidi="en-US"/>
      </w:rPr>
    </w:lvl>
  </w:abstractNum>
  <w:abstractNum w:abstractNumId="12" w15:restartNumberingAfterBreak="0">
    <w:nsid w:val="3F491CA9"/>
    <w:multiLevelType w:val="hybridMultilevel"/>
    <w:tmpl w:val="CE68FBB2"/>
    <w:lvl w:ilvl="0" w:tplc="F5AC581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16D223B"/>
    <w:multiLevelType w:val="hybridMultilevel"/>
    <w:tmpl w:val="A6A698F0"/>
    <w:lvl w:ilvl="0" w:tplc="84DA289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482A40C8"/>
    <w:multiLevelType w:val="hybridMultilevel"/>
    <w:tmpl w:val="EC5C2332"/>
    <w:lvl w:ilvl="0" w:tplc="87CE50EC">
      <w:numFmt w:val="bullet"/>
      <w:lvlText w:val=""/>
      <w:lvlJc w:val="left"/>
      <w:pPr>
        <w:ind w:left="1640" w:hanging="360"/>
      </w:pPr>
      <w:rPr>
        <w:rFonts w:ascii="Symbol" w:eastAsia="Symbol" w:hAnsi="Symbol" w:cs="Symbol" w:hint="default"/>
        <w:w w:val="100"/>
        <w:sz w:val="22"/>
        <w:szCs w:val="22"/>
        <w:lang w:val="en-US" w:eastAsia="en-US" w:bidi="en-US"/>
      </w:rPr>
    </w:lvl>
    <w:lvl w:ilvl="1" w:tplc="ECB68D34">
      <w:numFmt w:val="bullet"/>
      <w:lvlText w:val="•"/>
      <w:lvlJc w:val="left"/>
      <w:pPr>
        <w:ind w:left="2598" w:hanging="360"/>
      </w:pPr>
      <w:rPr>
        <w:rFonts w:hint="default"/>
        <w:lang w:val="en-US" w:eastAsia="en-US" w:bidi="en-US"/>
      </w:rPr>
    </w:lvl>
    <w:lvl w:ilvl="2" w:tplc="7C7C0654">
      <w:numFmt w:val="bullet"/>
      <w:lvlText w:val="•"/>
      <w:lvlJc w:val="left"/>
      <w:pPr>
        <w:ind w:left="3556" w:hanging="360"/>
      </w:pPr>
      <w:rPr>
        <w:rFonts w:hint="default"/>
        <w:lang w:val="en-US" w:eastAsia="en-US" w:bidi="en-US"/>
      </w:rPr>
    </w:lvl>
    <w:lvl w:ilvl="3" w:tplc="290E79CE">
      <w:numFmt w:val="bullet"/>
      <w:lvlText w:val="•"/>
      <w:lvlJc w:val="left"/>
      <w:pPr>
        <w:ind w:left="4514" w:hanging="360"/>
      </w:pPr>
      <w:rPr>
        <w:rFonts w:hint="default"/>
        <w:lang w:val="en-US" w:eastAsia="en-US" w:bidi="en-US"/>
      </w:rPr>
    </w:lvl>
    <w:lvl w:ilvl="4" w:tplc="2ECE104C">
      <w:numFmt w:val="bullet"/>
      <w:lvlText w:val="•"/>
      <w:lvlJc w:val="left"/>
      <w:pPr>
        <w:ind w:left="5472" w:hanging="360"/>
      </w:pPr>
      <w:rPr>
        <w:rFonts w:hint="default"/>
        <w:lang w:val="en-US" w:eastAsia="en-US" w:bidi="en-US"/>
      </w:rPr>
    </w:lvl>
    <w:lvl w:ilvl="5" w:tplc="797C1630">
      <w:numFmt w:val="bullet"/>
      <w:lvlText w:val="•"/>
      <w:lvlJc w:val="left"/>
      <w:pPr>
        <w:ind w:left="6430" w:hanging="360"/>
      </w:pPr>
      <w:rPr>
        <w:rFonts w:hint="default"/>
        <w:lang w:val="en-US" w:eastAsia="en-US" w:bidi="en-US"/>
      </w:rPr>
    </w:lvl>
    <w:lvl w:ilvl="6" w:tplc="A07063F2">
      <w:numFmt w:val="bullet"/>
      <w:lvlText w:val="•"/>
      <w:lvlJc w:val="left"/>
      <w:pPr>
        <w:ind w:left="7388" w:hanging="360"/>
      </w:pPr>
      <w:rPr>
        <w:rFonts w:hint="default"/>
        <w:lang w:val="en-US" w:eastAsia="en-US" w:bidi="en-US"/>
      </w:rPr>
    </w:lvl>
    <w:lvl w:ilvl="7" w:tplc="8FF65F28">
      <w:numFmt w:val="bullet"/>
      <w:lvlText w:val="•"/>
      <w:lvlJc w:val="left"/>
      <w:pPr>
        <w:ind w:left="8346" w:hanging="360"/>
      </w:pPr>
      <w:rPr>
        <w:rFonts w:hint="default"/>
        <w:lang w:val="en-US" w:eastAsia="en-US" w:bidi="en-US"/>
      </w:rPr>
    </w:lvl>
    <w:lvl w:ilvl="8" w:tplc="1D4E8882">
      <w:numFmt w:val="bullet"/>
      <w:lvlText w:val="•"/>
      <w:lvlJc w:val="left"/>
      <w:pPr>
        <w:ind w:left="9304" w:hanging="360"/>
      </w:pPr>
      <w:rPr>
        <w:rFonts w:hint="default"/>
        <w:lang w:val="en-US" w:eastAsia="en-US" w:bidi="en-US"/>
      </w:rPr>
    </w:lvl>
  </w:abstractNum>
  <w:abstractNum w:abstractNumId="15" w15:restartNumberingAfterBreak="0">
    <w:nsid w:val="4B111A20"/>
    <w:multiLevelType w:val="hybridMultilevel"/>
    <w:tmpl w:val="EBF6F674"/>
    <w:lvl w:ilvl="0" w:tplc="844E36B0">
      <w:numFmt w:val="bullet"/>
      <w:lvlText w:val=""/>
      <w:lvlJc w:val="left"/>
      <w:pPr>
        <w:ind w:left="103" w:hanging="418"/>
      </w:pPr>
      <w:rPr>
        <w:rFonts w:ascii="Wingdings" w:eastAsia="Wingdings" w:hAnsi="Wingdings" w:cs="Wingdings" w:hint="default"/>
        <w:w w:val="100"/>
        <w:sz w:val="22"/>
        <w:szCs w:val="22"/>
        <w:lang w:val="en-US" w:eastAsia="en-US" w:bidi="en-US"/>
      </w:rPr>
    </w:lvl>
    <w:lvl w:ilvl="1" w:tplc="4A389450">
      <w:numFmt w:val="bullet"/>
      <w:lvlText w:val="•"/>
      <w:lvlJc w:val="left"/>
      <w:pPr>
        <w:ind w:left="1468" w:hanging="418"/>
      </w:pPr>
      <w:rPr>
        <w:rFonts w:hint="default"/>
        <w:lang w:val="en-US" w:eastAsia="en-US" w:bidi="en-US"/>
      </w:rPr>
    </w:lvl>
    <w:lvl w:ilvl="2" w:tplc="5EBE17A4">
      <w:numFmt w:val="bullet"/>
      <w:lvlText w:val="•"/>
      <w:lvlJc w:val="left"/>
      <w:pPr>
        <w:ind w:left="2836" w:hanging="418"/>
      </w:pPr>
      <w:rPr>
        <w:rFonts w:hint="default"/>
        <w:lang w:val="en-US" w:eastAsia="en-US" w:bidi="en-US"/>
      </w:rPr>
    </w:lvl>
    <w:lvl w:ilvl="3" w:tplc="710EAA7A">
      <w:numFmt w:val="bullet"/>
      <w:lvlText w:val="•"/>
      <w:lvlJc w:val="left"/>
      <w:pPr>
        <w:ind w:left="4204" w:hanging="418"/>
      </w:pPr>
      <w:rPr>
        <w:rFonts w:hint="default"/>
        <w:lang w:val="en-US" w:eastAsia="en-US" w:bidi="en-US"/>
      </w:rPr>
    </w:lvl>
    <w:lvl w:ilvl="4" w:tplc="AB8C9CFA">
      <w:numFmt w:val="bullet"/>
      <w:lvlText w:val="•"/>
      <w:lvlJc w:val="left"/>
      <w:pPr>
        <w:ind w:left="5572" w:hanging="418"/>
      </w:pPr>
      <w:rPr>
        <w:rFonts w:hint="default"/>
        <w:lang w:val="en-US" w:eastAsia="en-US" w:bidi="en-US"/>
      </w:rPr>
    </w:lvl>
    <w:lvl w:ilvl="5" w:tplc="8B5CE756">
      <w:numFmt w:val="bullet"/>
      <w:lvlText w:val="•"/>
      <w:lvlJc w:val="left"/>
      <w:pPr>
        <w:ind w:left="6940" w:hanging="418"/>
      </w:pPr>
      <w:rPr>
        <w:rFonts w:hint="default"/>
        <w:lang w:val="en-US" w:eastAsia="en-US" w:bidi="en-US"/>
      </w:rPr>
    </w:lvl>
    <w:lvl w:ilvl="6" w:tplc="7F68599E">
      <w:numFmt w:val="bullet"/>
      <w:lvlText w:val="•"/>
      <w:lvlJc w:val="left"/>
      <w:pPr>
        <w:ind w:left="8308" w:hanging="418"/>
      </w:pPr>
      <w:rPr>
        <w:rFonts w:hint="default"/>
        <w:lang w:val="en-US" w:eastAsia="en-US" w:bidi="en-US"/>
      </w:rPr>
    </w:lvl>
    <w:lvl w:ilvl="7" w:tplc="5BB83992">
      <w:numFmt w:val="bullet"/>
      <w:lvlText w:val="•"/>
      <w:lvlJc w:val="left"/>
      <w:pPr>
        <w:ind w:left="9676" w:hanging="418"/>
      </w:pPr>
      <w:rPr>
        <w:rFonts w:hint="default"/>
        <w:lang w:val="en-US" w:eastAsia="en-US" w:bidi="en-US"/>
      </w:rPr>
    </w:lvl>
    <w:lvl w:ilvl="8" w:tplc="DFB0DCFA">
      <w:numFmt w:val="bullet"/>
      <w:lvlText w:val="•"/>
      <w:lvlJc w:val="left"/>
      <w:pPr>
        <w:ind w:left="11044" w:hanging="418"/>
      </w:pPr>
      <w:rPr>
        <w:rFonts w:hint="default"/>
        <w:lang w:val="en-US" w:eastAsia="en-US" w:bidi="en-US"/>
      </w:rPr>
    </w:lvl>
  </w:abstractNum>
  <w:abstractNum w:abstractNumId="16" w15:restartNumberingAfterBreak="0">
    <w:nsid w:val="51375EDD"/>
    <w:multiLevelType w:val="multilevel"/>
    <w:tmpl w:val="7E9A3BC4"/>
    <w:lvl w:ilvl="0">
      <w:start w:val="6"/>
      <w:numFmt w:val="upperLetter"/>
      <w:lvlText w:val="%1"/>
      <w:lvlJc w:val="left"/>
      <w:pPr>
        <w:ind w:left="140" w:hanging="353"/>
      </w:pPr>
      <w:rPr>
        <w:rFonts w:hint="default"/>
        <w:lang w:val="en-US" w:eastAsia="en-US" w:bidi="en-US"/>
      </w:rPr>
    </w:lvl>
    <w:lvl w:ilvl="1">
      <w:start w:val="1"/>
      <w:numFmt w:val="decimal"/>
      <w:lvlText w:val="%1.%2"/>
      <w:lvlJc w:val="left"/>
      <w:pPr>
        <w:ind w:left="140" w:hanging="353"/>
      </w:pPr>
      <w:rPr>
        <w:rFonts w:ascii="Calibri" w:eastAsia="Calibri" w:hAnsi="Calibri" w:cs="Calibri" w:hint="default"/>
        <w:b/>
        <w:bCs/>
        <w:w w:val="100"/>
        <w:sz w:val="24"/>
        <w:szCs w:val="24"/>
        <w:lang w:val="en-US" w:eastAsia="en-US" w:bidi="en-US"/>
      </w:rPr>
    </w:lvl>
    <w:lvl w:ilvl="2">
      <w:numFmt w:val="bullet"/>
      <w:lvlText w:val=""/>
      <w:lvlJc w:val="left"/>
      <w:pPr>
        <w:ind w:left="514" w:hanging="188"/>
      </w:pPr>
      <w:rPr>
        <w:rFonts w:ascii="Symbol" w:eastAsia="Symbol" w:hAnsi="Symbol" w:cs="Symbol" w:hint="default"/>
        <w:w w:val="100"/>
        <w:sz w:val="24"/>
        <w:szCs w:val="24"/>
        <w:lang w:val="en-US" w:eastAsia="en-US" w:bidi="en-US"/>
      </w:rPr>
    </w:lvl>
    <w:lvl w:ilvl="3">
      <w:numFmt w:val="bullet"/>
      <w:lvlText w:val=""/>
      <w:lvlJc w:val="left"/>
      <w:pPr>
        <w:ind w:left="860" w:hanging="360"/>
      </w:pPr>
      <w:rPr>
        <w:rFonts w:ascii="Symbol" w:eastAsia="Symbol" w:hAnsi="Symbol" w:cs="Symbol" w:hint="default"/>
        <w:w w:val="100"/>
        <w:sz w:val="24"/>
        <w:szCs w:val="24"/>
        <w:lang w:val="en-US" w:eastAsia="en-US" w:bidi="en-US"/>
      </w:rPr>
    </w:lvl>
    <w:lvl w:ilvl="4">
      <w:numFmt w:val="bullet"/>
      <w:lvlText w:val="•"/>
      <w:lvlJc w:val="left"/>
      <w:pPr>
        <w:ind w:left="4315" w:hanging="360"/>
      </w:pPr>
      <w:rPr>
        <w:rFonts w:hint="default"/>
        <w:lang w:val="en-US" w:eastAsia="en-US" w:bidi="en-US"/>
      </w:rPr>
    </w:lvl>
    <w:lvl w:ilvl="5">
      <w:numFmt w:val="bullet"/>
      <w:lvlText w:val="•"/>
      <w:lvlJc w:val="left"/>
      <w:pPr>
        <w:ind w:left="6042" w:hanging="360"/>
      </w:pPr>
      <w:rPr>
        <w:rFonts w:hint="default"/>
        <w:lang w:val="en-US" w:eastAsia="en-US" w:bidi="en-US"/>
      </w:rPr>
    </w:lvl>
    <w:lvl w:ilvl="6">
      <w:numFmt w:val="bullet"/>
      <w:lvlText w:val="•"/>
      <w:lvlJc w:val="left"/>
      <w:pPr>
        <w:ind w:left="7770" w:hanging="360"/>
      </w:pPr>
      <w:rPr>
        <w:rFonts w:hint="default"/>
        <w:lang w:val="en-US" w:eastAsia="en-US" w:bidi="en-US"/>
      </w:rPr>
    </w:lvl>
    <w:lvl w:ilvl="7">
      <w:numFmt w:val="bullet"/>
      <w:lvlText w:val="•"/>
      <w:lvlJc w:val="left"/>
      <w:pPr>
        <w:ind w:left="9497" w:hanging="360"/>
      </w:pPr>
      <w:rPr>
        <w:rFonts w:hint="default"/>
        <w:lang w:val="en-US" w:eastAsia="en-US" w:bidi="en-US"/>
      </w:rPr>
    </w:lvl>
    <w:lvl w:ilvl="8">
      <w:numFmt w:val="bullet"/>
      <w:lvlText w:val="•"/>
      <w:lvlJc w:val="left"/>
      <w:pPr>
        <w:ind w:left="11225" w:hanging="360"/>
      </w:pPr>
      <w:rPr>
        <w:rFonts w:hint="default"/>
        <w:lang w:val="en-US" w:eastAsia="en-US" w:bidi="en-US"/>
      </w:rPr>
    </w:lvl>
  </w:abstractNum>
  <w:abstractNum w:abstractNumId="17" w15:restartNumberingAfterBreak="0">
    <w:nsid w:val="5523792C"/>
    <w:multiLevelType w:val="hybridMultilevel"/>
    <w:tmpl w:val="8116A7C6"/>
    <w:lvl w:ilvl="0" w:tplc="B0CADB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9FE3AF2"/>
    <w:multiLevelType w:val="hybridMultilevel"/>
    <w:tmpl w:val="456A623C"/>
    <w:lvl w:ilvl="0" w:tplc="1BBC7C06">
      <w:numFmt w:val="bullet"/>
      <w:lvlText w:val=""/>
      <w:lvlJc w:val="left"/>
      <w:pPr>
        <w:ind w:left="514" w:hanging="188"/>
      </w:pPr>
      <w:rPr>
        <w:rFonts w:ascii="Symbol" w:eastAsia="Symbol" w:hAnsi="Symbol" w:cs="Symbol" w:hint="default"/>
        <w:w w:val="100"/>
        <w:sz w:val="24"/>
        <w:szCs w:val="24"/>
        <w:lang w:val="en-US" w:eastAsia="en-US" w:bidi="en-US"/>
      </w:rPr>
    </w:lvl>
    <w:lvl w:ilvl="1" w:tplc="7C1CB8EA">
      <w:numFmt w:val="bullet"/>
      <w:lvlText w:val="•"/>
      <w:lvlJc w:val="left"/>
      <w:pPr>
        <w:ind w:left="1936" w:hanging="188"/>
      </w:pPr>
      <w:rPr>
        <w:rFonts w:hint="default"/>
        <w:lang w:val="en-US" w:eastAsia="en-US" w:bidi="en-US"/>
      </w:rPr>
    </w:lvl>
    <w:lvl w:ilvl="2" w:tplc="767CDD1C">
      <w:numFmt w:val="bullet"/>
      <w:lvlText w:val="•"/>
      <w:lvlJc w:val="left"/>
      <w:pPr>
        <w:ind w:left="3352" w:hanging="188"/>
      </w:pPr>
      <w:rPr>
        <w:rFonts w:hint="default"/>
        <w:lang w:val="en-US" w:eastAsia="en-US" w:bidi="en-US"/>
      </w:rPr>
    </w:lvl>
    <w:lvl w:ilvl="3" w:tplc="30CC606E">
      <w:numFmt w:val="bullet"/>
      <w:lvlText w:val="•"/>
      <w:lvlJc w:val="left"/>
      <w:pPr>
        <w:ind w:left="4768" w:hanging="188"/>
      </w:pPr>
      <w:rPr>
        <w:rFonts w:hint="default"/>
        <w:lang w:val="en-US" w:eastAsia="en-US" w:bidi="en-US"/>
      </w:rPr>
    </w:lvl>
    <w:lvl w:ilvl="4" w:tplc="CE6C7B18">
      <w:numFmt w:val="bullet"/>
      <w:lvlText w:val="•"/>
      <w:lvlJc w:val="left"/>
      <w:pPr>
        <w:ind w:left="6184" w:hanging="188"/>
      </w:pPr>
      <w:rPr>
        <w:rFonts w:hint="default"/>
        <w:lang w:val="en-US" w:eastAsia="en-US" w:bidi="en-US"/>
      </w:rPr>
    </w:lvl>
    <w:lvl w:ilvl="5" w:tplc="B868FFB6">
      <w:numFmt w:val="bullet"/>
      <w:lvlText w:val="•"/>
      <w:lvlJc w:val="left"/>
      <w:pPr>
        <w:ind w:left="7600" w:hanging="188"/>
      </w:pPr>
      <w:rPr>
        <w:rFonts w:hint="default"/>
        <w:lang w:val="en-US" w:eastAsia="en-US" w:bidi="en-US"/>
      </w:rPr>
    </w:lvl>
    <w:lvl w:ilvl="6" w:tplc="A058C7FA">
      <w:numFmt w:val="bullet"/>
      <w:lvlText w:val="•"/>
      <w:lvlJc w:val="left"/>
      <w:pPr>
        <w:ind w:left="9016" w:hanging="188"/>
      </w:pPr>
      <w:rPr>
        <w:rFonts w:hint="default"/>
        <w:lang w:val="en-US" w:eastAsia="en-US" w:bidi="en-US"/>
      </w:rPr>
    </w:lvl>
    <w:lvl w:ilvl="7" w:tplc="450AE400">
      <w:numFmt w:val="bullet"/>
      <w:lvlText w:val="•"/>
      <w:lvlJc w:val="left"/>
      <w:pPr>
        <w:ind w:left="10432" w:hanging="188"/>
      </w:pPr>
      <w:rPr>
        <w:rFonts w:hint="default"/>
        <w:lang w:val="en-US" w:eastAsia="en-US" w:bidi="en-US"/>
      </w:rPr>
    </w:lvl>
    <w:lvl w:ilvl="8" w:tplc="6C461BB8">
      <w:numFmt w:val="bullet"/>
      <w:lvlText w:val="•"/>
      <w:lvlJc w:val="left"/>
      <w:pPr>
        <w:ind w:left="11848" w:hanging="188"/>
      </w:pPr>
      <w:rPr>
        <w:rFonts w:hint="default"/>
        <w:lang w:val="en-US" w:eastAsia="en-US" w:bidi="en-US"/>
      </w:rPr>
    </w:lvl>
  </w:abstractNum>
  <w:abstractNum w:abstractNumId="19" w15:restartNumberingAfterBreak="0">
    <w:nsid w:val="5A8C06F8"/>
    <w:multiLevelType w:val="multilevel"/>
    <w:tmpl w:val="52285A0E"/>
    <w:lvl w:ilvl="0">
      <w:start w:val="1"/>
      <w:numFmt w:val="upperLetter"/>
      <w:lvlText w:val="%1"/>
      <w:lvlJc w:val="left"/>
      <w:pPr>
        <w:ind w:left="140" w:hanging="389"/>
      </w:pPr>
      <w:rPr>
        <w:rFonts w:hint="default"/>
        <w:lang w:val="en-US" w:eastAsia="en-US" w:bidi="en-US"/>
      </w:rPr>
    </w:lvl>
    <w:lvl w:ilvl="1">
      <w:start w:val="1"/>
      <w:numFmt w:val="decimal"/>
      <w:lvlText w:val="%1.%2"/>
      <w:lvlJc w:val="left"/>
      <w:pPr>
        <w:ind w:left="140" w:hanging="389"/>
      </w:pPr>
      <w:rPr>
        <w:rFonts w:hint="default"/>
        <w:u w:val="single" w:color="000000"/>
        <w:lang w:val="en-US" w:eastAsia="en-US" w:bidi="en-US"/>
      </w:rPr>
    </w:lvl>
    <w:lvl w:ilvl="2">
      <w:numFmt w:val="bullet"/>
      <w:lvlText w:val=""/>
      <w:lvlJc w:val="left"/>
      <w:pPr>
        <w:ind w:left="514" w:hanging="188"/>
      </w:pPr>
      <w:rPr>
        <w:rFonts w:ascii="Symbol" w:eastAsia="Symbol" w:hAnsi="Symbol" w:cs="Symbol" w:hint="default"/>
        <w:w w:val="100"/>
        <w:sz w:val="24"/>
        <w:szCs w:val="24"/>
        <w:lang w:val="en-US" w:eastAsia="en-US" w:bidi="en-US"/>
      </w:rPr>
    </w:lvl>
    <w:lvl w:ilvl="3">
      <w:numFmt w:val="bullet"/>
      <w:lvlText w:val=""/>
      <w:lvlJc w:val="left"/>
      <w:pPr>
        <w:ind w:left="860" w:hanging="360"/>
      </w:pPr>
      <w:rPr>
        <w:rFonts w:ascii="Symbol" w:eastAsia="Symbol" w:hAnsi="Symbol" w:cs="Symbol" w:hint="default"/>
        <w:w w:val="100"/>
        <w:sz w:val="24"/>
        <w:szCs w:val="24"/>
        <w:lang w:val="en-US" w:eastAsia="en-US" w:bidi="en-US"/>
      </w:rPr>
    </w:lvl>
    <w:lvl w:ilvl="4">
      <w:numFmt w:val="bullet"/>
      <w:lvlText w:val="o"/>
      <w:lvlJc w:val="left"/>
      <w:pPr>
        <w:ind w:left="1580" w:hanging="360"/>
      </w:pPr>
      <w:rPr>
        <w:rFonts w:ascii="Courier New" w:eastAsia="Courier New" w:hAnsi="Courier New" w:cs="Courier New" w:hint="default"/>
        <w:w w:val="100"/>
        <w:sz w:val="24"/>
        <w:szCs w:val="24"/>
        <w:lang w:val="en-US" w:eastAsia="en-US" w:bidi="en-US"/>
      </w:rPr>
    </w:lvl>
    <w:lvl w:ilvl="5">
      <w:numFmt w:val="bullet"/>
      <w:lvlText w:val="•"/>
      <w:lvlJc w:val="left"/>
      <w:pPr>
        <w:ind w:left="5311" w:hanging="360"/>
      </w:pPr>
      <w:rPr>
        <w:rFonts w:hint="default"/>
        <w:lang w:val="en-US" w:eastAsia="en-US" w:bidi="en-US"/>
      </w:rPr>
    </w:lvl>
    <w:lvl w:ilvl="6">
      <w:numFmt w:val="bullet"/>
      <w:lvlText w:val="•"/>
      <w:lvlJc w:val="left"/>
      <w:pPr>
        <w:ind w:left="7177" w:hanging="360"/>
      </w:pPr>
      <w:rPr>
        <w:rFonts w:hint="default"/>
        <w:lang w:val="en-US" w:eastAsia="en-US" w:bidi="en-US"/>
      </w:rPr>
    </w:lvl>
    <w:lvl w:ilvl="7">
      <w:numFmt w:val="bullet"/>
      <w:lvlText w:val="•"/>
      <w:lvlJc w:val="left"/>
      <w:pPr>
        <w:ind w:left="9042" w:hanging="360"/>
      </w:pPr>
      <w:rPr>
        <w:rFonts w:hint="default"/>
        <w:lang w:val="en-US" w:eastAsia="en-US" w:bidi="en-US"/>
      </w:rPr>
    </w:lvl>
    <w:lvl w:ilvl="8">
      <w:numFmt w:val="bullet"/>
      <w:lvlText w:val="•"/>
      <w:lvlJc w:val="left"/>
      <w:pPr>
        <w:ind w:left="10908" w:hanging="360"/>
      </w:pPr>
      <w:rPr>
        <w:rFonts w:hint="default"/>
        <w:lang w:val="en-US" w:eastAsia="en-US" w:bidi="en-US"/>
      </w:rPr>
    </w:lvl>
  </w:abstractNum>
  <w:abstractNum w:abstractNumId="20" w15:restartNumberingAfterBreak="0">
    <w:nsid w:val="5AE8402E"/>
    <w:multiLevelType w:val="hybridMultilevel"/>
    <w:tmpl w:val="267CAF94"/>
    <w:lvl w:ilvl="0" w:tplc="3C642BCA">
      <w:start w:val="1"/>
      <w:numFmt w:val="decimal"/>
      <w:lvlText w:val="%1."/>
      <w:lvlJc w:val="left"/>
      <w:pPr>
        <w:ind w:left="860" w:hanging="360"/>
      </w:pPr>
      <w:rPr>
        <w:rFonts w:ascii="Calibri" w:eastAsia="Calibri" w:hAnsi="Calibri" w:cs="Calibri" w:hint="default"/>
        <w:spacing w:val="-3"/>
        <w:w w:val="100"/>
        <w:sz w:val="24"/>
        <w:szCs w:val="24"/>
      </w:rPr>
    </w:lvl>
    <w:lvl w:ilvl="1" w:tplc="642411DC">
      <w:start w:val="1"/>
      <w:numFmt w:val="upperLetter"/>
      <w:lvlText w:val="%2."/>
      <w:lvlJc w:val="left"/>
      <w:pPr>
        <w:ind w:left="840" w:hanging="360"/>
      </w:pPr>
      <w:rPr>
        <w:rFonts w:ascii="Calibri" w:eastAsia="Calibri" w:hAnsi="Calibri" w:cs="Calibri" w:hint="default"/>
        <w:spacing w:val="-4"/>
        <w:w w:val="100"/>
        <w:sz w:val="24"/>
        <w:szCs w:val="24"/>
      </w:rPr>
    </w:lvl>
    <w:lvl w:ilvl="2" w:tplc="9FFAA8F4">
      <w:start w:val="1"/>
      <w:numFmt w:val="decimal"/>
      <w:lvlText w:val="%3."/>
      <w:lvlJc w:val="left"/>
      <w:pPr>
        <w:ind w:left="1200" w:hanging="360"/>
      </w:pPr>
      <w:rPr>
        <w:rFonts w:ascii="Calibri" w:eastAsia="Calibri" w:hAnsi="Calibri" w:cs="Calibri" w:hint="default"/>
        <w:spacing w:val="-2"/>
        <w:w w:val="100"/>
        <w:sz w:val="24"/>
        <w:szCs w:val="24"/>
      </w:rPr>
    </w:lvl>
    <w:lvl w:ilvl="3" w:tplc="2A6E39D4">
      <w:numFmt w:val="bullet"/>
      <w:lvlText w:val="•"/>
      <w:lvlJc w:val="left"/>
      <w:pPr>
        <w:ind w:left="2425" w:hanging="360"/>
      </w:pPr>
      <w:rPr>
        <w:rFonts w:hint="default"/>
      </w:rPr>
    </w:lvl>
    <w:lvl w:ilvl="4" w:tplc="FDC645FC">
      <w:numFmt w:val="bullet"/>
      <w:lvlText w:val="•"/>
      <w:lvlJc w:val="left"/>
      <w:pPr>
        <w:ind w:left="3650" w:hanging="360"/>
      </w:pPr>
      <w:rPr>
        <w:rFonts w:hint="default"/>
      </w:rPr>
    </w:lvl>
    <w:lvl w:ilvl="5" w:tplc="2D7090AC">
      <w:numFmt w:val="bullet"/>
      <w:lvlText w:val="•"/>
      <w:lvlJc w:val="left"/>
      <w:pPr>
        <w:ind w:left="4875" w:hanging="360"/>
      </w:pPr>
      <w:rPr>
        <w:rFonts w:hint="default"/>
      </w:rPr>
    </w:lvl>
    <w:lvl w:ilvl="6" w:tplc="977612F0">
      <w:numFmt w:val="bullet"/>
      <w:lvlText w:val="•"/>
      <w:lvlJc w:val="left"/>
      <w:pPr>
        <w:ind w:left="6100" w:hanging="360"/>
      </w:pPr>
      <w:rPr>
        <w:rFonts w:hint="default"/>
      </w:rPr>
    </w:lvl>
    <w:lvl w:ilvl="7" w:tplc="086694A4">
      <w:numFmt w:val="bullet"/>
      <w:lvlText w:val="•"/>
      <w:lvlJc w:val="left"/>
      <w:pPr>
        <w:ind w:left="7325" w:hanging="360"/>
      </w:pPr>
      <w:rPr>
        <w:rFonts w:hint="default"/>
      </w:rPr>
    </w:lvl>
    <w:lvl w:ilvl="8" w:tplc="F1E20040">
      <w:numFmt w:val="bullet"/>
      <w:lvlText w:val="•"/>
      <w:lvlJc w:val="left"/>
      <w:pPr>
        <w:ind w:left="8550" w:hanging="360"/>
      </w:pPr>
      <w:rPr>
        <w:rFonts w:hint="default"/>
      </w:rPr>
    </w:lvl>
  </w:abstractNum>
  <w:abstractNum w:abstractNumId="21" w15:restartNumberingAfterBreak="0">
    <w:nsid w:val="5D096053"/>
    <w:multiLevelType w:val="hybridMultilevel"/>
    <w:tmpl w:val="267CAF94"/>
    <w:lvl w:ilvl="0" w:tplc="3C642BCA">
      <w:start w:val="1"/>
      <w:numFmt w:val="decimal"/>
      <w:lvlText w:val="%1."/>
      <w:lvlJc w:val="left"/>
      <w:pPr>
        <w:ind w:left="860" w:hanging="360"/>
      </w:pPr>
      <w:rPr>
        <w:rFonts w:ascii="Calibri" w:eastAsia="Calibri" w:hAnsi="Calibri" w:cs="Calibri" w:hint="default"/>
        <w:spacing w:val="-3"/>
        <w:w w:val="100"/>
        <w:sz w:val="24"/>
        <w:szCs w:val="24"/>
      </w:rPr>
    </w:lvl>
    <w:lvl w:ilvl="1" w:tplc="642411DC">
      <w:start w:val="1"/>
      <w:numFmt w:val="upperLetter"/>
      <w:lvlText w:val="%2."/>
      <w:lvlJc w:val="left"/>
      <w:pPr>
        <w:ind w:left="840" w:hanging="360"/>
      </w:pPr>
      <w:rPr>
        <w:rFonts w:ascii="Calibri" w:eastAsia="Calibri" w:hAnsi="Calibri" w:cs="Calibri" w:hint="default"/>
        <w:spacing w:val="-4"/>
        <w:w w:val="100"/>
        <w:sz w:val="24"/>
        <w:szCs w:val="24"/>
      </w:rPr>
    </w:lvl>
    <w:lvl w:ilvl="2" w:tplc="9FFAA8F4">
      <w:start w:val="1"/>
      <w:numFmt w:val="decimal"/>
      <w:lvlText w:val="%3."/>
      <w:lvlJc w:val="left"/>
      <w:pPr>
        <w:ind w:left="1200" w:hanging="360"/>
      </w:pPr>
      <w:rPr>
        <w:rFonts w:ascii="Calibri" w:eastAsia="Calibri" w:hAnsi="Calibri" w:cs="Calibri" w:hint="default"/>
        <w:spacing w:val="-2"/>
        <w:w w:val="100"/>
        <w:sz w:val="24"/>
        <w:szCs w:val="24"/>
      </w:rPr>
    </w:lvl>
    <w:lvl w:ilvl="3" w:tplc="2A6E39D4">
      <w:numFmt w:val="bullet"/>
      <w:lvlText w:val="•"/>
      <w:lvlJc w:val="left"/>
      <w:pPr>
        <w:ind w:left="2425" w:hanging="360"/>
      </w:pPr>
      <w:rPr>
        <w:rFonts w:hint="default"/>
      </w:rPr>
    </w:lvl>
    <w:lvl w:ilvl="4" w:tplc="FDC645FC">
      <w:numFmt w:val="bullet"/>
      <w:lvlText w:val="•"/>
      <w:lvlJc w:val="left"/>
      <w:pPr>
        <w:ind w:left="3650" w:hanging="360"/>
      </w:pPr>
      <w:rPr>
        <w:rFonts w:hint="default"/>
      </w:rPr>
    </w:lvl>
    <w:lvl w:ilvl="5" w:tplc="2D7090AC">
      <w:numFmt w:val="bullet"/>
      <w:lvlText w:val="•"/>
      <w:lvlJc w:val="left"/>
      <w:pPr>
        <w:ind w:left="4875" w:hanging="360"/>
      </w:pPr>
      <w:rPr>
        <w:rFonts w:hint="default"/>
      </w:rPr>
    </w:lvl>
    <w:lvl w:ilvl="6" w:tplc="977612F0">
      <w:numFmt w:val="bullet"/>
      <w:lvlText w:val="•"/>
      <w:lvlJc w:val="left"/>
      <w:pPr>
        <w:ind w:left="6100" w:hanging="360"/>
      </w:pPr>
      <w:rPr>
        <w:rFonts w:hint="default"/>
      </w:rPr>
    </w:lvl>
    <w:lvl w:ilvl="7" w:tplc="086694A4">
      <w:numFmt w:val="bullet"/>
      <w:lvlText w:val="•"/>
      <w:lvlJc w:val="left"/>
      <w:pPr>
        <w:ind w:left="7325" w:hanging="360"/>
      </w:pPr>
      <w:rPr>
        <w:rFonts w:hint="default"/>
      </w:rPr>
    </w:lvl>
    <w:lvl w:ilvl="8" w:tplc="F1E20040">
      <w:numFmt w:val="bullet"/>
      <w:lvlText w:val="•"/>
      <w:lvlJc w:val="left"/>
      <w:pPr>
        <w:ind w:left="8550" w:hanging="360"/>
      </w:pPr>
      <w:rPr>
        <w:rFonts w:hint="default"/>
      </w:rPr>
    </w:lvl>
  </w:abstractNum>
  <w:abstractNum w:abstractNumId="22" w15:restartNumberingAfterBreak="0">
    <w:nsid w:val="6292430C"/>
    <w:multiLevelType w:val="multilevel"/>
    <w:tmpl w:val="32205EB8"/>
    <w:lvl w:ilvl="0">
      <w:start w:val="3"/>
      <w:numFmt w:val="upperLetter"/>
      <w:lvlText w:val="%1."/>
      <w:lvlJc w:val="left"/>
      <w:pPr>
        <w:ind w:left="500" w:hanging="360"/>
      </w:pPr>
      <w:rPr>
        <w:rFonts w:ascii="Calibri" w:eastAsia="Calibri" w:hAnsi="Calibri" w:cs="Calibri" w:hint="default"/>
        <w:b/>
        <w:bCs/>
        <w:spacing w:val="-3"/>
        <w:w w:val="100"/>
        <w:sz w:val="24"/>
        <w:szCs w:val="24"/>
        <w:lang w:val="en-US" w:eastAsia="en-US" w:bidi="en-US"/>
      </w:rPr>
    </w:lvl>
    <w:lvl w:ilvl="1">
      <w:start w:val="1"/>
      <w:numFmt w:val="decimal"/>
      <w:lvlText w:val="%1.%2"/>
      <w:lvlJc w:val="left"/>
      <w:pPr>
        <w:ind w:left="140" w:hanging="370"/>
      </w:pPr>
      <w:rPr>
        <w:rFonts w:hint="default"/>
        <w:spacing w:val="-1"/>
        <w:u w:val="single" w:color="000000"/>
        <w:lang w:val="en-US" w:eastAsia="en-US" w:bidi="en-US"/>
      </w:rPr>
    </w:lvl>
    <w:lvl w:ilvl="2">
      <w:numFmt w:val="bullet"/>
      <w:lvlText w:val=""/>
      <w:lvlJc w:val="left"/>
      <w:pPr>
        <w:ind w:left="514" w:hanging="188"/>
      </w:pPr>
      <w:rPr>
        <w:rFonts w:ascii="Symbol" w:eastAsia="Symbol" w:hAnsi="Symbol" w:cs="Symbol" w:hint="default"/>
        <w:w w:val="100"/>
        <w:sz w:val="24"/>
        <w:szCs w:val="24"/>
        <w:lang w:val="en-US" w:eastAsia="en-US" w:bidi="en-US"/>
      </w:rPr>
    </w:lvl>
    <w:lvl w:ilvl="3">
      <w:numFmt w:val="bullet"/>
      <w:lvlText w:val=""/>
      <w:lvlJc w:val="left"/>
      <w:pPr>
        <w:ind w:left="860" w:hanging="360"/>
      </w:pPr>
      <w:rPr>
        <w:rFonts w:ascii="Symbol" w:eastAsia="Symbol" w:hAnsi="Symbol" w:cs="Symbol" w:hint="default"/>
        <w:w w:val="100"/>
        <w:sz w:val="24"/>
        <w:szCs w:val="24"/>
        <w:lang w:val="en-US" w:eastAsia="en-US" w:bidi="en-US"/>
      </w:rPr>
    </w:lvl>
    <w:lvl w:ilvl="4">
      <w:numFmt w:val="bullet"/>
      <w:lvlText w:val="•"/>
      <w:lvlJc w:val="left"/>
      <w:pPr>
        <w:ind w:left="2125" w:hanging="360"/>
      </w:pPr>
      <w:rPr>
        <w:rFonts w:hint="default"/>
        <w:lang w:val="en-US" w:eastAsia="en-US" w:bidi="en-US"/>
      </w:rPr>
    </w:lvl>
    <w:lvl w:ilvl="5">
      <w:numFmt w:val="bullet"/>
      <w:lvlText w:val="•"/>
      <w:lvlJc w:val="left"/>
      <w:pPr>
        <w:ind w:left="3391" w:hanging="360"/>
      </w:pPr>
      <w:rPr>
        <w:rFonts w:hint="default"/>
        <w:lang w:val="en-US" w:eastAsia="en-US" w:bidi="en-US"/>
      </w:rPr>
    </w:lvl>
    <w:lvl w:ilvl="6">
      <w:numFmt w:val="bullet"/>
      <w:lvlText w:val="•"/>
      <w:lvlJc w:val="left"/>
      <w:pPr>
        <w:ind w:left="4657" w:hanging="360"/>
      </w:pPr>
      <w:rPr>
        <w:rFonts w:hint="default"/>
        <w:lang w:val="en-US" w:eastAsia="en-US" w:bidi="en-US"/>
      </w:rPr>
    </w:lvl>
    <w:lvl w:ilvl="7">
      <w:numFmt w:val="bullet"/>
      <w:lvlText w:val="•"/>
      <w:lvlJc w:val="left"/>
      <w:pPr>
        <w:ind w:left="5922" w:hanging="360"/>
      </w:pPr>
      <w:rPr>
        <w:rFonts w:hint="default"/>
        <w:lang w:val="en-US" w:eastAsia="en-US" w:bidi="en-US"/>
      </w:rPr>
    </w:lvl>
    <w:lvl w:ilvl="8">
      <w:numFmt w:val="bullet"/>
      <w:lvlText w:val="•"/>
      <w:lvlJc w:val="left"/>
      <w:pPr>
        <w:ind w:left="7188" w:hanging="360"/>
      </w:pPr>
      <w:rPr>
        <w:rFonts w:hint="default"/>
        <w:lang w:val="en-US" w:eastAsia="en-US" w:bidi="en-US"/>
      </w:rPr>
    </w:lvl>
  </w:abstractNum>
  <w:abstractNum w:abstractNumId="23" w15:restartNumberingAfterBreak="0">
    <w:nsid w:val="68292CA9"/>
    <w:multiLevelType w:val="hybridMultilevel"/>
    <w:tmpl w:val="2AA68C78"/>
    <w:lvl w:ilvl="0" w:tplc="55E25B52">
      <w:start w:val="1"/>
      <w:numFmt w:val="decimal"/>
      <w:lvlText w:val="%1."/>
      <w:lvlJc w:val="left"/>
      <w:pPr>
        <w:ind w:left="1640" w:hanging="360"/>
      </w:pPr>
      <w:rPr>
        <w:rFonts w:ascii="Calibri" w:eastAsia="Calibri" w:hAnsi="Calibri" w:cs="Calibri" w:hint="default"/>
        <w:w w:val="100"/>
        <w:sz w:val="22"/>
        <w:szCs w:val="22"/>
        <w:lang w:val="en-US" w:eastAsia="en-US" w:bidi="en-US"/>
      </w:rPr>
    </w:lvl>
    <w:lvl w:ilvl="1" w:tplc="BE5EAD28">
      <w:start w:val="1"/>
      <w:numFmt w:val="lowerLetter"/>
      <w:lvlText w:val="%2."/>
      <w:lvlJc w:val="left"/>
      <w:pPr>
        <w:ind w:left="2360" w:hanging="360"/>
      </w:pPr>
      <w:rPr>
        <w:rFonts w:ascii="Calibri" w:eastAsia="Calibri" w:hAnsi="Calibri" w:cs="Calibri" w:hint="default"/>
        <w:spacing w:val="-1"/>
        <w:w w:val="100"/>
        <w:sz w:val="22"/>
        <w:szCs w:val="22"/>
        <w:lang w:val="en-US" w:eastAsia="en-US" w:bidi="en-US"/>
      </w:rPr>
    </w:lvl>
    <w:lvl w:ilvl="2" w:tplc="561280EA">
      <w:numFmt w:val="bullet"/>
      <w:lvlText w:val="•"/>
      <w:lvlJc w:val="left"/>
      <w:pPr>
        <w:ind w:left="3344" w:hanging="360"/>
      </w:pPr>
      <w:rPr>
        <w:rFonts w:hint="default"/>
        <w:lang w:val="en-US" w:eastAsia="en-US" w:bidi="en-US"/>
      </w:rPr>
    </w:lvl>
    <w:lvl w:ilvl="3" w:tplc="1F9AA986">
      <w:numFmt w:val="bullet"/>
      <w:lvlText w:val="•"/>
      <w:lvlJc w:val="left"/>
      <w:pPr>
        <w:ind w:left="4328" w:hanging="360"/>
      </w:pPr>
      <w:rPr>
        <w:rFonts w:hint="default"/>
        <w:lang w:val="en-US" w:eastAsia="en-US" w:bidi="en-US"/>
      </w:rPr>
    </w:lvl>
    <w:lvl w:ilvl="4" w:tplc="19227F72">
      <w:numFmt w:val="bullet"/>
      <w:lvlText w:val="•"/>
      <w:lvlJc w:val="left"/>
      <w:pPr>
        <w:ind w:left="5313" w:hanging="360"/>
      </w:pPr>
      <w:rPr>
        <w:rFonts w:hint="default"/>
        <w:lang w:val="en-US" w:eastAsia="en-US" w:bidi="en-US"/>
      </w:rPr>
    </w:lvl>
    <w:lvl w:ilvl="5" w:tplc="DCB21CDE">
      <w:numFmt w:val="bullet"/>
      <w:lvlText w:val="•"/>
      <w:lvlJc w:val="left"/>
      <w:pPr>
        <w:ind w:left="6297" w:hanging="360"/>
      </w:pPr>
      <w:rPr>
        <w:rFonts w:hint="default"/>
        <w:lang w:val="en-US" w:eastAsia="en-US" w:bidi="en-US"/>
      </w:rPr>
    </w:lvl>
    <w:lvl w:ilvl="6" w:tplc="C4F8E36C">
      <w:numFmt w:val="bullet"/>
      <w:lvlText w:val="•"/>
      <w:lvlJc w:val="left"/>
      <w:pPr>
        <w:ind w:left="7282" w:hanging="360"/>
      </w:pPr>
      <w:rPr>
        <w:rFonts w:hint="default"/>
        <w:lang w:val="en-US" w:eastAsia="en-US" w:bidi="en-US"/>
      </w:rPr>
    </w:lvl>
    <w:lvl w:ilvl="7" w:tplc="5D447DFA">
      <w:numFmt w:val="bullet"/>
      <w:lvlText w:val="•"/>
      <w:lvlJc w:val="left"/>
      <w:pPr>
        <w:ind w:left="8266" w:hanging="360"/>
      </w:pPr>
      <w:rPr>
        <w:rFonts w:hint="default"/>
        <w:lang w:val="en-US" w:eastAsia="en-US" w:bidi="en-US"/>
      </w:rPr>
    </w:lvl>
    <w:lvl w:ilvl="8" w:tplc="3C946458">
      <w:numFmt w:val="bullet"/>
      <w:lvlText w:val="•"/>
      <w:lvlJc w:val="left"/>
      <w:pPr>
        <w:ind w:left="9251" w:hanging="360"/>
      </w:pPr>
      <w:rPr>
        <w:rFonts w:hint="default"/>
        <w:lang w:val="en-US" w:eastAsia="en-US" w:bidi="en-US"/>
      </w:rPr>
    </w:lvl>
  </w:abstractNum>
  <w:abstractNum w:abstractNumId="24" w15:restartNumberingAfterBreak="0">
    <w:nsid w:val="68AA222D"/>
    <w:multiLevelType w:val="hybridMultilevel"/>
    <w:tmpl w:val="AEF68420"/>
    <w:lvl w:ilvl="0" w:tplc="3ABCC3FE">
      <w:start w:val="1"/>
      <w:numFmt w:val="decimal"/>
      <w:lvlText w:val="%1."/>
      <w:lvlJc w:val="left"/>
      <w:pPr>
        <w:ind w:left="860" w:hanging="360"/>
      </w:pPr>
      <w:rPr>
        <w:rFonts w:ascii="Calibri" w:eastAsia="Calibri" w:hAnsi="Calibri" w:cs="Calibri" w:hint="default"/>
        <w:w w:val="100"/>
        <w:sz w:val="22"/>
        <w:szCs w:val="22"/>
        <w:lang w:val="en-US" w:eastAsia="en-US" w:bidi="en-US"/>
      </w:rPr>
    </w:lvl>
    <w:lvl w:ilvl="1" w:tplc="8EF6FF2E">
      <w:numFmt w:val="bullet"/>
      <w:lvlText w:val="•"/>
      <w:lvlJc w:val="left"/>
      <w:pPr>
        <w:ind w:left="1868" w:hanging="360"/>
      </w:pPr>
      <w:rPr>
        <w:rFonts w:hint="default"/>
        <w:lang w:val="en-US" w:eastAsia="en-US" w:bidi="en-US"/>
      </w:rPr>
    </w:lvl>
    <w:lvl w:ilvl="2" w:tplc="35C8846E">
      <w:numFmt w:val="bullet"/>
      <w:lvlText w:val="•"/>
      <w:lvlJc w:val="left"/>
      <w:pPr>
        <w:ind w:left="2876" w:hanging="360"/>
      </w:pPr>
      <w:rPr>
        <w:rFonts w:hint="default"/>
        <w:lang w:val="en-US" w:eastAsia="en-US" w:bidi="en-US"/>
      </w:rPr>
    </w:lvl>
    <w:lvl w:ilvl="3" w:tplc="D70EDF56">
      <w:numFmt w:val="bullet"/>
      <w:lvlText w:val="•"/>
      <w:lvlJc w:val="left"/>
      <w:pPr>
        <w:ind w:left="3884" w:hanging="360"/>
      </w:pPr>
      <w:rPr>
        <w:rFonts w:hint="default"/>
        <w:lang w:val="en-US" w:eastAsia="en-US" w:bidi="en-US"/>
      </w:rPr>
    </w:lvl>
    <w:lvl w:ilvl="4" w:tplc="604EEF70">
      <w:numFmt w:val="bullet"/>
      <w:lvlText w:val="•"/>
      <w:lvlJc w:val="left"/>
      <w:pPr>
        <w:ind w:left="4892" w:hanging="360"/>
      </w:pPr>
      <w:rPr>
        <w:rFonts w:hint="default"/>
        <w:lang w:val="en-US" w:eastAsia="en-US" w:bidi="en-US"/>
      </w:rPr>
    </w:lvl>
    <w:lvl w:ilvl="5" w:tplc="45704864">
      <w:numFmt w:val="bullet"/>
      <w:lvlText w:val="•"/>
      <w:lvlJc w:val="left"/>
      <w:pPr>
        <w:ind w:left="5900" w:hanging="360"/>
      </w:pPr>
      <w:rPr>
        <w:rFonts w:hint="default"/>
        <w:lang w:val="en-US" w:eastAsia="en-US" w:bidi="en-US"/>
      </w:rPr>
    </w:lvl>
    <w:lvl w:ilvl="6" w:tplc="98404954">
      <w:numFmt w:val="bullet"/>
      <w:lvlText w:val="•"/>
      <w:lvlJc w:val="left"/>
      <w:pPr>
        <w:ind w:left="6908" w:hanging="360"/>
      </w:pPr>
      <w:rPr>
        <w:rFonts w:hint="default"/>
        <w:lang w:val="en-US" w:eastAsia="en-US" w:bidi="en-US"/>
      </w:rPr>
    </w:lvl>
    <w:lvl w:ilvl="7" w:tplc="70E472AA">
      <w:numFmt w:val="bullet"/>
      <w:lvlText w:val="•"/>
      <w:lvlJc w:val="left"/>
      <w:pPr>
        <w:ind w:left="7916" w:hanging="360"/>
      </w:pPr>
      <w:rPr>
        <w:rFonts w:hint="default"/>
        <w:lang w:val="en-US" w:eastAsia="en-US" w:bidi="en-US"/>
      </w:rPr>
    </w:lvl>
    <w:lvl w:ilvl="8" w:tplc="708C045A">
      <w:numFmt w:val="bullet"/>
      <w:lvlText w:val="•"/>
      <w:lvlJc w:val="left"/>
      <w:pPr>
        <w:ind w:left="8924" w:hanging="360"/>
      </w:pPr>
      <w:rPr>
        <w:rFonts w:hint="default"/>
        <w:lang w:val="en-US" w:eastAsia="en-US" w:bidi="en-US"/>
      </w:rPr>
    </w:lvl>
  </w:abstractNum>
  <w:abstractNum w:abstractNumId="25" w15:restartNumberingAfterBreak="0">
    <w:nsid w:val="6F3511C7"/>
    <w:multiLevelType w:val="hybridMultilevel"/>
    <w:tmpl w:val="ECEE202E"/>
    <w:lvl w:ilvl="0" w:tplc="9E96485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7282326B"/>
    <w:multiLevelType w:val="hybridMultilevel"/>
    <w:tmpl w:val="FF88B6C8"/>
    <w:lvl w:ilvl="0" w:tplc="A2726AD0">
      <w:start w:val="5"/>
      <w:numFmt w:val="upperLetter"/>
      <w:lvlText w:val="%1."/>
      <w:lvlJc w:val="left"/>
      <w:pPr>
        <w:ind w:left="500" w:hanging="360"/>
      </w:pPr>
      <w:rPr>
        <w:rFonts w:ascii="Calibri" w:eastAsia="Calibri" w:hAnsi="Calibri" w:cs="Calibri" w:hint="default"/>
        <w:b/>
        <w:bCs/>
        <w:spacing w:val="-5"/>
        <w:w w:val="100"/>
        <w:sz w:val="24"/>
        <w:szCs w:val="24"/>
        <w:lang w:val="en-US" w:eastAsia="en-US" w:bidi="en-US"/>
      </w:rPr>
    </w:lvl>
    <w:lvl w:ilvl="1" w:tplc="23E69B74">
      <w:numFmt w:val="bullet"/>
      <w:lvlText w:val=""/>
      <w:lvlJc w:val="left"/>
      <w:pPr>
        <w:ind w:left="514" w:hanging="188"/>
      </w:pPr>
      <w:rPr>
        <w:rFonts w:ascii="Symbol" w:eastAsia="Symbol" w:hAnsi="Symbol" w:cs="Symbol" w:hint="default"/>
        <w:w w:val="100"/>
        <w:sz w:val="24"/>
        <w:szCs w:val="24"/>
        <w:lang w:val="en-US" w:eastAsia="en-US" w:bidi="en-US"/>
      </w:rPr>
    </w:lvl>
    <w:lvl w:ilvl="2" w:tplc="5A0E3C8E">
      <w:numFmt w:val="bullet"/>
      <w:lvlText w:val=""/>
      <w:lvlJc w:val="left"/>
      <w:pPr>
        <w:ind w:left="860" w:hanging="360"/>
      </w:pPr>
      <w:rPr>
        <w:rFonts w:ascii="Symbol" w:eastAsia="Symbol" w:hAnsi="Symbol" w:cs="Symbol" w:hint="default"/>
        <w:w w:val="100"/>
        <w:sz w:val="24"/>
        <w:szCs w:val="24"/>
        <w:lang w:val="en-US" w:eastAsia="en-US" w:bidi="en-US"/>
      </w:rPr>
    </w:lvl>
    <w:lvl w:ilvl="3" w:tplc="9A3EEC62">
      <w:numFmt w:val="bullet"/>
      <w:lvlText w:val="•"/>
      <w:lvlJc w:val="left"/>
      <w:pPr>
        <w:ind w:left="2017" w:hanging="360"/>
      </w:pPr>
      <w:rPr>
        <w:rFonts w:hint="default"/>
        <w:lang w:val="en-US" w:eastAsia="en-US" w:bidi="en-US"/>
      </w:rPr>
    </w:lvl>
    <w:lvl w:ilvl="4" w:tplc="3264B082">
      <w:numFmt w:val="bullet"/>
      <w:lvlText w:val="•"/>
      <w:lvlJc w:val="left"/>
      <w:pPr>
        <w:ind w:left="3175" w:hanging="360"/>
      </w:pPr>
      <w:rPr>
        <w:rFonts w:hint="default"/>
        <w:lang w:val="en-US" w:eastAsia="en-US" w:bidi="en-US"/>
      </w:rPr>
    </w:lvl>
    <w:lvl w:ilvl="5" w:tplc="DDD0FE52">
      <w:numFmt w:val="bullet"/>
      <w:lvlText w:val="•"/>
      <w:lvlJc w:val="left"/>
      <w:pPr>
        <w:ind w:left="4332" w:hanging="360"/>
      </w:pPr>
      <w:rPr>
        <w:rFonts w:hint="default"/>
        <w:lang w:val="en-US" w:eastAsia="en-US" w:bidi="en-US"/>
      </w:rPr>
    </w:lvl>
    <w:lvl w:ilvl="6" w:tplc="4852CC08">
      <w:numFmt w:val="bullet"/>
      <w:lvlText w:val="•"/>
      <w:lvlJc w:val="left"/>
      <w:pPr>
        <w:ind w:left="5490" w:hanging="360"/>
      </w:pPr>
      <w:rPr>
        <w:rFonts w:hint="default"/>
        <w:lang w:val="en-US" w:eastAsia="en-US" w:bidi="en-US"/>
      </w:rPr>
    </w:lvl>
    <w:lvl w:ilvl="7" w:tplc="FC8C1A82">
      <w:numFmt w:val="bullet"/>
      <w:lvlText w:val="•"/>
      <w:lvlJc w:val="left"/>
      <w:pPr>
        <w:ind w:left="6647" w:hanging="360"/>
      </w:pPr>
      <w:rPr>
        <w:rFonts w:hint="default"/>
        <w:lang w:val="en-US" w:eastAsia="en-US" w:bidi="en-US"/>
      </w:rPr>
    </w:lvl>
    <w:lvl w:ilvl="8" w:tplc="444098B8">
      <w:numFmt w:val="bullet"/>
      <w:lvlText w:val="•"/>
      <w:lvlJc w:val="left"/>
      <w:pPr>
        <w:ind w:left="7805" w:hanging="360"/>
      </w:pPr>
      <w:rPr>
        <w:rFonts w:hint="default"/>
        <w:lang w:val="en-US" w:eastAsia="en-US" w:bidi="en-US"/>
      </w:rPr>
    </w:lvl>
  </w:abstractNum>
  <w:abstractNum w:abstractNumId="27" w15:restartNumberingAfterBreak="0">
    <w:nsid w:val="738E53CA"/>
    <w:multiLevelType w:val="hybridMultilevel"/>
    <w:tmpl w:val="582AD928"/>
    <w:lvl w:ilvl="0" w:tplc="635E94EC">
      <w:numFmt w:val="bullet"/>
      <w:lvlText w:val=""/>
      <w:lvlJc w:val="left"/>
      <w:pPr>
        <w:ind w:left="520" w:hanging="418"/>
      </w:pPr>
      <w:rPr>
        <w:rFonts w:ascii="Wingdings" w:eastAsia="Wingdings" w:hAnsi="Wingdings" w:cs="Wingdings" w:hint="default"/>
        <w:w w:val="100"/>
        <w:sz w:val="22"/>
        <w:szCs w:val="22"/>
        <w:lang w:val="en-US" w:eastAsia="en-US" w:bidi="en-US"/>
      </w:rPr>
    </w:lvl>
    <w:lvl w:ilvl="1" w:tplc="90E2B2CA">
      <w:numFmt w:val="bullet"/>
      <w:lvlText w:val="•"/>
      <w:lvlJc w:val="left"/>
      <w:pPr>
        <w:ind w:left="1846" w:hanging="418"/>
      </w:pPr>
      <w:rPr>
        <w:rFonts w:hint="default"/>
        <w:lang w:val="en-US" w:eastAsia="en-US" w:bidi="en-US"/>
      </w:rPr>
    </w:lvl>
    <w:lvl w:ilvl="2" w:tplc="98B85F96">
      <w:numFmt w:val="bullet"/>
      <w:lvlText w:val="•"/>
      <w:lvlJc w:val="left"/>
      <w:pPr>
        <w:ind w:left="3172" w:hanging="418"/>
      </w:pPr>
      <w:rPr>
        <w:rFonts w:hint="default"/>
        <w:lang w:val="en-US" w:eastAsia="en-US" w:bidi="en-US"/>
      </w:rPr>
    </w:lvl>
    <w:lvl w:ilvl="3" w:tplc="679ADA4C">
      <w:numFmt w:val="bullet"/>
      <w:lvlText w:val="•"/>
      <w:lvlJc w:val="left"/>
      <w:pPr>
        <w:ind w:left="4498" w:hanging="418"/>
      </w:pPr>
      <w:rPr>
        <w:rFonts w:hint="default"/>
        <w:lang w:val="en-US" w:eastAsia="en-US" w:bidi="en-US"/>
      </w:rPr>
    </w:lvl>
    <w:lvl w:ilvl="4" w:tplc="27B233F6">
      <w:numFmt w:val="bullet"/>
      <w:lvlText w:val="•"/>
      <w:lvlJc w:val="left"/>
      <w:pPr>
        <w:ind w:left="5824" w:hanging="418"/>
      </w:pPr>
      <w:rPr>
        <w:rFonts w:hint="default"/>
        <w:lang w:val="en-US" w:eastAsia="en-US" w:bidi="en-US"/>
      </w:rPr>
    </w:lvl>
    <w:lvl w:ilvl="5" w:tplc="E7F8BC9A">
      <w:numFmt w:val="bullet"/>
      <w:lvlText w:val="•"/>
      <w:lvlJc w:val="left"/>
      <w:pPr>
        <w:ind w:left="7150" w:hanging="418"/>
      </w:pPr>
      <w:rPr>
        <w:rFonts w:hint="default"/>
        <w:lang w:val="en-US" w:eastAsia="en-US" w:bidi="en-US"/>
      </w:rPr>
    </w:lvl>
    <w:lvl w:ilvl="6" w:tplc="D46CD5A6">
      <w:numFmt w:val="bullet"/>
      <w:lvlText w:val="•"/>
      <w:lvlJc w:val="left"/>
      <w:pPr>
        <w:ind w:left="8476" w:hanging="418"/>
      </w:pPr>
      <w:rPr>
        <w:rFonts w:hint="default"/>
        <w:lang w:val="en-US" w:eastAsia="en-US" w:bidi="en-US"/>
      </w:rPr>
    </w:lvl>
    <w:lvl w:ilvl="7" w:tplc="CA3AB68A">
      <w:numFmt w:val="bullet"/>
      <w:lvlText w:val="•"/>
      <w:lvlJc w:val="left"/>
      <w:pPr>
        <w:ind w:left="9802" w:hanging="418"/>
      </w:pPr>
      <w:rPr>
        <w:rFonts w:hint="default"/>
        <w:lang w:val="en-US" w:eastAsia="en-US" w:bidi="en-US"/>
      </w:rPr>
    </w:lvl>
    <w:lvl w:ilvl="8" w:tplc="457AAD78">
      <w:numFmt w:val="bullet"/>
      <w:lvlText w:val="•"/>
      <w:lvlJc w:val="left"/>
      <w:pPr>
        <w:ind w:left="11128" w:hanging="418"/>
      </w:pPr>
      <w:rPr>
        <w:rFonts w:hint="default"/>
        <w:lang w:val="en-US" w:eastAsia="en-US" w:bidi="en-US"/>
      </w:rPr>
    </w:lvl>
  </w:abstractNum>
  <w:num w:numId="1">
    <w:abstractNumId w:val="23"/>
  </w:num>
  <w:num w:numId="2">
    <w:abstractNumId w:val="0"/>
  </w:num>
  <w:num w:numId="3">
    <w:abstractNumId w:val="15"/>
  </w:num>
  <w:num w:numId="4">
    <w:abstractNumId w:val="27"/>
  </w:num>
  <w:num w:numId="5">
    <w:abstractNumId w:val="11"/>
  </w:num>
  <w:num w:numId="6">
    <w:abstractNumId w:val="24"/>
  </w:num>
  <w:num w:numId="7">
    <w:abstractNumId w:val="9"/>
  </w:num>
  <w:num w:numId="8">
    <w:abstractNumId w:val="18"/>
  </w:num>
  <w:num w:numId="9">
    <w:abstractNumId w:val="16"/>
  </w:num>
  <w:num w:numId="10">
    <w:abstractNumId w:val="26"/>
  </w:num>
  <w:num w:numId="11">
    <w:abstractNumId w:val="5"/>
  </w:num>
  <w:num w:numId="12">
    <w:abstractNumId w:val="22"/>
  </w:num>
  <w:num w:numId="13">
    <w:abstractNumId w:val="10"/>
  </w:num>
  <w:num w:numId="14">
    <w:abstractNumId w:val="19"/>
  </w:num>
  <w:num w:numId="15">
    <w:abstractNumId w:val="4"/>
  </w:num>
  <w:num w:numId="16">
    <w:abstractNumId w:val="14"/>
  </w:num>
  <w:num w:numId="17">
    <w:abstractNumId w:val="7"/>
  </w:num>
  <w:num w:numId="18">
    <w:abstractNumId w:val="21"/>
  </w:num>
  <w:num w:numId="19">
    <w:abstractNumId w:val="20"/>
  </w:num>
  <w:num w:numId="20">
    <w:abstractNumId w:val="12"/>
  </w:num>
  <w:num w:numId="21">
    <w:abstractNumId w:val="17"/>
  </w:num>
  <w:num w:numId="22">
    <w:abstractNumId w:val="25"/>
  </w:num>
  <w:num w:numId="23">
    <w:abstractNumId w:val="1"/>
  </w:num>
  <w:num w:numId="24">
    <w:abstractNumId w:val="8"/>
  </w:num>
  <w:num w:numId="25">
    <w:abstractNumId w:val="6"/>
  </w:num>
  <w:num w:numId="26">
    <w:abstractNumId w:val="2"/>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0F"/>
    <w:rsid w:val="00004145"/>
    <w:rsid w:val="00016875"/>
    <w:rsid w:val="00021342"/>
    <w:rsid w:val="00023C52"/>
    <w:rsid w:val="00027A51"/>
    <w:rsid w:val="00032101"/>
    <w:rsid w:val="000326AD"/>
    <w:rsid w:val="000476BB"/>
    <w:rsid w:val="00051179"/>
    <w:rsid w:val="0005578B"/>
    <w:rsid w:val="000701D8"/>
    <w:rsid w:val="000A322F"/>
    <w:rsid w:val="000B3A02"/>
    <w:rsid w:val="000D4EEF"/>
    <w:rsid w:val="000D6D34"/>
    <w:rsid w:val="000E3C32"/>
    <w:rsid w:val="000F0574"/>
    <w:rsid w:val="000F0F50"/>
    <w:rsid w:val="00114410"/>
    <w:rsid w:val="001209CB"/>
    <w:rsid w:val="001315FB"/>
    <w:rsid w:val="001352BD"/>
    <w:rsid w:val="001655FB"/>
    <w:rsid w:val="0016648C"/>
    <w:rsid w:val="00174E2C"/>
    <w:rsid w:val="001815A9"/>
    <w:rsid w:val="00194306"/>
    <w:rsid w:val="001A04DC"/>
    <w:rsid w:val="001A1D3C"/>
    <w:rsid w:val="001A477A"/>
    <w:rsid w:val="001D45AB"/>
    <w:rsid w:val="001E0015"/>
    <w:rsid w:val="001E5159"/>
    <w:rsid w:val="00201B4B"/>
    <w:rsid w:val="00201EB3"/>
    <w:rsid w:val="002134BC"/>
    <w:rsid w:val="00226F09"/>
    <w:rsid w:val="002476F1"/>
    <w:rsid w:val="00253918"/>
    <w:rsid w:val="0025533A"/>
    <w:rsid w:val="00257C71"/>
    <w:rsid w:val="0026362D"/>
    <w:rsid w:val="00264C59"/>
    <w:rsid w:val="00264E5E"/>
    <w:rsid w:val="00273078"/>
    <w:rsid w:val="00274893"/>
    <w:rsid w:val="00275A7C"/>
    <w:rsid w:val="002A0B6C"/>
    <w:rsid w:val="002A22F2"/>
    <w:rsid w:val="002D0959"/>
    <w:rsid w:val="002E3288"/>
    <w:rsid w:val="0030311F"/>
    <w:rsid w:val="00310F8B"/>
    <w:rsid w:val="003233C3"/>
    <w:rsid w:val="0032547C"/>
    <w:rsid w:val="003344A8"/>
    <w:rsid w:val="00334929"/>
    <w:rsid w:val="00340773"/>
    <w:rsid w:val="003569DD"/>
    <w:rsid w:val="003700A4"/>
    <w:rsid w:val="00370BFA"/>
    <w:rsid w:val="00373A86"/>
    <w:rsid w:val="003813CF"/>
    <w:rsid w:val="00384A82"/>
    <w:rsid w:val="00386FDB"/>
    <w:rsid w:val="003901D4"/>
    <w:rsid w:val="003C6BB0"/>
    <w:rsid w:val="003D744E"/>
    <w:rsid w:val="003E35AC"/>
    <w:rsid w:val="003F2C6E"/>
    <w:rsid w:val="00425C2F"/>
    <w:rsid w:val="00435E23"/>
    <w:rsid w:val="00440B94"/>
    <w:rsid w:val="00444F29"/>
    <w:rsid w:val="0046352F"/>
    <w:rsid w:val="00464E99"/>
    <w:rsid w:val="004A697D"/>
    <w:rsid w:val="004C528A"/>
    <w:rsid w:val="004E5A75"/>
    <w:rsid w:val="00502D29"/>
    <w:rsid w:val="00514248"/>
    <w:rsid w:val="00530D0A"/>
    <w:rsid w:val="00530F23"/>
    <w:rsid w:val="0053301C"/>
    <w:rsid w:val="005338DE"/>
    <w:rsid w:val="00543A3A"/>
    <w:rsid w:val="00554E36"/>
    <w:rsid w:val="00560000"/>
    <w:rsid w:val="00566C58"/>
    <w:rsid w:val="00567319"/>
    <w:rsid w:val="00567C06"/>
    <w:rsid w:val="00574CBA"/>
    <w:rsid w:val="005846FA"/>
    <w:rsid w:val="005A5D47"/>
    <w:rsid w:val="005A6DD3"/>
    <w:rsid w:val="005B08DC"/>
    <w:rsid w:val="005E7B64"/>
    <w:rsid w:val="00606EA7"/>
    <w:rsid w:val="00635D13"/>
    <w:rsid w:val="00657396"/>
    <w:rsid w:val="0067386B"/>
    <w:rsid w:val="00675061"/>
    <w:rsid w:val="006A5A2D"/>
    <w:rsid w:val="006B0BE6"/>
    <w:rsid w:val="006B2983"/>
    <w:rsid w:val="006B423E"/>
    <w:rsid w:val="006B71FA"/>
    <w:rsid w:val="006C759A"/>
    <w:rsid w:val="006D2958"/>
    <w:rsid w:val="006D40E4"/>
    <w:rsid w:val="006E1778"/>
    <w:rsid w:val="006F3243"/>
    <w:rsid w:val="006F4A24"/>
    <w:rsid w:val="00701379"/>
    <w:rsid w:val="00705618"/>
    <w:rsid w:val="00706164"/>
    <w:rsid w:val="007104FA"/>
    <w:rsid w:val="00711913"/>
    <w:rsid w:val="00721619"/>
    <w:rsid w:val="00744929"/>
    <w:rsid w:val="00751211"/>
    <w:rsid w:val="0076234C"/>
    <w:rsid w:val="007649A6"/>
    <w:rsid w:val="0077089C"/>
    <w:rsid w:val="00782525"/>
    <w:rsid w:val="007B0CA6"/>
    <w:rsid w:val="007B7838"/>
    <w:rsid w:val="007C6B44"/>
    <w:rsid w:val="007F0E09"/>
    <w:rsid w:val="007F126D"/>
    <w:rsid w:val="00800C7E"/>
    <w:rsid w:val="008074FD"/>
    <w:rsid w:val="008306D8"/>
    <w:rsid w:val="00846678"/>
    <w:rsid w:val="008610B1"/>
    <w:rsid w:val="00862C5B"/>
    <w:rsid w:val="008D0614"/>
    <w:rsid w:val="008D42E5"/>
    <w:rsid w:val="008D6536"/>
    <w:rsid w:val="008E130C"/>
    <w:rsid w:val="008E44EA"/>
    <w:rsid w:val="009022F6"/>
    <w:rsid w:val="009355EB"/>
    <w:rsid w:val="00965284"/>
    <w:rsid w:val="00983F60"/>
    <w:rsid w:val="009906A3"/>
    <w:rsid w:val="009A54EE"/>
    <w:rsid w:val="009C137A"/>
    <w:rsid w:val="009D4F95"/>
    <w:rsid w:val="009E7F2C"/>
    <w:rsid w:val="00A04A67"/>
    <w:rsid w:val="00A169CE"/>
    <w:rsid w:val="00A21C80"/>
    <w:rsid w:val="00A30C80"/>
    <w:rsid w:val="00A42B6F"/>
    <w:rsid w:val="00A53040"/>
    <w:rsid w:val="00A5556E"/>
    <w:rsid w:val="00A63A82"/>
    <w:rsid w:val="00A65C62"/>
    <w:rsid w:val="00A72BF6"/>
    <w:rsid w:val="00A845EF"/>
    <w:rsid w:val="00A84E13"/>
    <w:rsid w:val="00A9401E"/>
    <w:rsid w:val="00A959DE"/>
    <w:rsid w:val="00AC5378"/>
    <w:rsid w:val="00AC700E"/>
    <w:rsid w:val="00AC7492"/>
    <w:rsid w:val="00AE2121"/>
    <w:rsid w:val="00AE3C41"/>
    <w:rsid w:val="00B0177F"/>
    <w:rsid w:val="00B01E1D"/>
    <w:rsid w:val="00B022FF"/>
    <w:rsid w:val="00B36E5F"/>
    <w:rsid w:val="00B379EF"/>
    <w:rsid w:val="00B46AA7"/>
    <w:rsid w:val="00B505E7"/>
    <w:rsid w:val="00B55CEA"/>
    <w:rsid w:val="00B648FB"/>
    <w:rsid w:val="00B6747A"/>
    <w:rsid w:val="00B73D8A"/>
    <w:rsid w:val="00B74A1F"/>
    <w:rsid w:val="00B92839"/>
    <w:rsid w:val="00B93BCA"/>
    <w:rsid w:val="00BB0500"/>
    <w:rsid w:val="00BC3A0F"/>
    <w:rsid w:val="00BC49FE"/>
    <w:rsid w:val="00C02689"/>
    <w:rsid w:val="00C02B08"/>
    <w:rsid w:val="00C042EB"/>
    <w:rsid w:val="00C05AF6"/>
    <w:rsid w:val="00C072BC"/>
    <w:rsid w:val="00C220E8"/>
    <w:rsid w:val="00C4043B"/>
    <w:rsid w:val="00C542FA"/>
    <w:rsid w:val="00C62B4D"/>
    <w:rsid w:val="00C65642"/>
    <w:rsid w:val="00C67E84"/>
    <w:rsid w:val="00C902D6"/>
    <w:rsid w:val="00CC539A"/>
    <w:rsid w:val="00CF5256"/>
    <w:rsid w:val="00D027AF"/>
    <w:rsid w:val="00D277DF"/>
    <w:rsid w:val="00D6063A"/>
    <w:rsid w:val="00D63504"/>
    <w:rsid w:val="00D64061"/>
    <w:rsid w:val="00D83282"/>
    <w:rsid w:val="00D93C67"/>
    <w:rsid w:val="00DA1CBD"/>
    <w:rsid w:val="00DD6DA3"/>
    <w:rsid w:val="00DE5808"/>
    <w:rsid w:val="00DE5830"/>
    <w:rsid w:val="00DF1DA3"/>
    <w:rsid w:val="00DF2982"/>
    <w:rsid w:val="00DF553F"/>
    <w:rsid w:val="00E06203"/>
    <w:rsid w:val="00E1143A"/>
    <w:rsid w:val="00E213A1"/>
    <w:rsid w:val="00E25F2B"/>
    <w:rsid w:val="00E40D25"/>
    <w:rsid w:val="00E55C4D"/>
    <w:rsid w:val="00E87CDD"/>
    <w:rsid w:val="00EB28BD"/>
    <w:rsid w:val="00EF1A2B"/>
    <w:rsid w:val="00EF4E54"/>
    <w:rsid w:val="00F00473"/>
    <w:rsid w:val="00F07FCD"/>
    <w:rsid w:val="00F13959"/>
    <w:rsid w:val="00F21006"/>
    <w:rsid w:val="00F243A6"/>
    <w:rsid w:val="00F32427"/>
    <w:rsid w:val="00F41A2D"/>
    <w:rsid w:val="00F53471"/>
    <w:rsid w:val="00F574BA"/>
    <w:rsid w:val="00F673BF"/>
    <w:rsid w:val="00F755C8"/>
    <w:rsid w:val="00F76020"/>
    <w:rsid w:val="00F760F8"/>
    <w:rsid w:val="00F86AF2"/>
    <w:rsid w:val="00F90246"/>
    <w:rsid w:val="00F93F93"/>
    <w:rsid w:val="00F96BD6"/>
    <w:rsid w:val="00FB2A41"/>
    <w:rsid w:val="00FB5784"/>
    <w:rsid w:val="00FC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9E5B6"/>
  <w15:docId w15:val="{27A73EA1-D529-4E46-B033-4DC2438B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0"/>
      <w:ind w:left="111"/>
      <w:outlineLvl w:val="0"/>
    </w:pPr>
    <w:rPr>
      <w:b/>
      <w:bCs/>
      <w:sz w:val="48"/>
      <w:szCs w:val="48"/>
      <w:u w:val="single" w:color="000000"/>
    </w:rPr>
  </w:style>
  <w:style w:type="paragraph" w:styleId="Heading2">
    <w:name w:val="heading 2"/>
    <w:basedOn w:val="Normal"/>
    <w:uiPriority w:val="9"/>
    <w:unhideWhenUsed/>
    <w:qFormat/>
    <w:pPr>
      <w:ind w:left="3966" w:right="3982" w:hanging="1"/>
      <w:jc w:val="center"/>
      <w:outlineLvl w:val="1"/>
    </w:pPr>
    <w:rPr>
      <w:b/>
      <w:bCs/>
      <w:sz w:val="40"/>
      <w:szCs w:val="40"/>
    </w:rPr>
  </w:style>
  <w:style w:type="paragraph" w:styleId="Heading3">
    <w:name w:val="heading 3"/>
    <w:basedOn w:val="Normal"/>
    <w:uiPriority w:val="9"/>
    <w:unhideWhenUsed/>
    <w:qFormat/>
    <w:pPr>
      <w:ind w:left="2960"/>
      <w:outlineLvl w:val="2"/>
    </w:pPr>
    <w:rPr>
      <w:b/>
      <w:bCs/>
      <w:i/>
      <w:sz w:val="36"/>
      <w:szCs w:val="36"/>
    </w:rPr>
  </w:style>
  <w:style w:type="paragraph" w:styleId="Heading4">
    <w:name w:val="heading 4"/>
    <w:basedOn w:val="Normal"/>
    <w:uiPriority w:val="9"/>
    <w:unhideWhenUsed/>
    <w:qFormat/>
    <w:pPr>
      <w:spacing w:before="20"/>
      <w:ind w:left="3791" w:right="3809"/>
      <w:jc w:val="center"/>
      <w:outlineLvl w:val="3"/>
    </w:pPr>
    <w:rPr>
      <w:b/>
      <w:bCs/>
      <w:sz w:val="28"/>
      <w:szCs w:val="28"/>
    </w:rPr>
  </w:style>
  <w:style w:type="paragraph" w:styleId="Heading5">
    <w:name w:val="heading 5"/>
    <w:basedOn w:val="Normal"/>
    <w:uiPriority w:val="9"/>
    <w:unhideWhenUsed/>
    <w:qFormat/>
    <w:pPr>
      <w:spacing w:before="21"/>
      <w:ind w:left="2271"/>
      <w:outlineLvl w:val="4"/>
    </w:pPr>
    <w:rPr>
      <w:b/>
      <w:bCs/>
      <w:sz w:val="26"/>
      <w:szCs w:val="26"/>
    </w:rPr>
  </w:style>
  <w:style w:type="paragraph" w:styleId="Heading6">
    <w:name w:val="heading 6"/>
    <w:basedOn w:val="Normal"/>
    <w:uiPriority w:val="9"/>
    <w:unhideWhenUsed/>
    <w:qFormat/>
    <w:pPr>
      <w:spacing w:before="52"/>
      <w:ind w:left="140"/>
      <w:outlineLvl w:val="5"/>
    </w:pPr>
    <w:rPr>
      <w:b/>
      <w:bCs/>
      <w:sz w:val="24"/>
      <w:szCs w:val="24"/>
    </w:rPr>
  </w:style>
  <w:style w:type="paragraph" w:styleId="Heading7">
    <w:name w:val="heading 7"/>
    <w:basedOn w:val="Normal"/>
    <w:uiPriority w:val="1"/>
    <w:qFormat/>
    <w:pPr>
      <w:ind w:left="500" w:hanging="180"/>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2"/>
      <w:ind w:left="9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D0959"/>
    <w:pPr>
      <w:tabs>
        <w:tab w:val="center" w:pos="4680"/>
        <w:tab w:val="right" w:pos="9360"/>
      </w:tabs>
    </w:pPr>
  </w:style>
  <w:style w:type="character" w:customStyle="1" w:styleId="HeaderChar">
    <w:name w:val="Header Char"/>
    <w:basedOn w:val="DefaultParagraphFont"/>
    <w:link w:val="Header"/>
    <w:uiPriority w:val="99"/>
    <w:rsid w:val="002D0959"/>
    <w:rPr>
      <w:rFonts w:ascii="Calibri" w:eastAsia="Calibri" w:hAnsi="Calibri" w:cs="Calibri"/>
      <w:lang w:bidi="en-US"/>
    </w:rPr>
  </w:style>
  <w:style w:type="paragraph" w:styleId="Footer">
    <w:name w:val="footer"/>
    <w:basedOn w:val="Normal"/>
    <w:link w:val="FooterChar"/>
    <w:uiPriority w:val="99"/>
    <w:unhideWhenUsed/>
    <w:rsid w:val="002D0959"/>
    <w:pPr>
      <w:tabs>
        <w:tab w:val="center" w:pos="4680"/>
        <w:tab w:val="right" w:pos="9360"/>
      </w:tabs>
    </w:pPr>
  </w:style>
  <w:style w:type="character" w:customStyle="1" w:styleId="FooterChar">
    <w:name w:val="Footer Char"/>
    <w:basedOn w:val="DefaultParagraphFont"/>
    <w:link w:val="Footer"/>
    <w:uiPriority w:val="99"/>
    <w:rsid w:val="002D0959"/>
    <w:rPr>
      <w:rFonts w:ascii="Calibri" w:eastAsia="Calibri" w:hAnsi="Calibri" w:cs="Calibri"/>
      <w:lang w:bidi="en-US"/>
    </w:rPr>
  </w:style>
  <w:style w:type="paragraph" w:styleId="BalloonText">
    <w:name w:val="Balloon Text"/>
    <w:basedOn w:val="Normal"/>
    <w:link w:val="BalloonTextChar"/>
    <w:uiPriority w:val="99"/>
    <w:semiHidden/>
    <w:unhideWhenUsed/>
    <w:rsid w:val="00B67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7A"/>
    <w:rPr>
      <w:rFonts w:ascii="Segoe UI" w:eastAsia="Calibri" w:hAnsi="Segoe UI" w:cs="Segoe UI"/>
      <w:sz w:val="18"/>
      <w:szCs w:val="18"/>
      <w:lang w:bidi="en-US"/>
    </w:rPr>
  </w:style>
  <w:style w:type="character" w:styleId="Hyperlink">
    <w:name w:val="Hyperlink"/>
    <w:basedOn w:val="DefaultParagraphFont"/>
    <w:uiPriority w:val="99"/>
    <w:unhideWhenUsed/>
    <w:rsid w:val="00530D0A"/>
    <w:rPr>
      <w:color w:val="0000FF" w:themeColor="hyperlink"/>
      <w:u w:val="single"/>
    </w:rPr>
  </w:style>
  <w:style w:type="character" w:styleId="UnresolvedMention">
    <w:name w:val="Unresolved Mention"/>
    <w:basedOn w:val="DefaultParagraphFont"/>
    <w:uiPriority w:val="99"/>
    <w:semiHidden/>
    <w:unhideWhenUsed/>
    <w:rsid w:val="00530D0A"/>
    <w:rPr>
      <w:color w:val="605E5C"/>
      <w:shd w:val="clear" w:color="auto" w:fill="E1DFDD"/>
    </w:rPr>
  </w:style>
  <w:style w:type="table" w:styleId="TableGrid">
    <w:name w:val="Table Grid"/>
    <w:basedOn w:val="TableNormal"/>
    <w:uiPriority w:val="39"/>
    <w:rsid w:val="00A7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0299">
      <w:bodyDiv w:val="1"/>
      <w:marLeft w:val="0"/>
      <w:marRight w:val="0"/>
      <w:marTop w:val="0"/>
      <w:marBottom w:val="0"/>
      <w:divBdr>
        <w:top w:val="none" w:sz="0" w:space="0" w:color="auto"/>
        <w:left w:val="none" w:sz="0" w:space="0" w:color="auto"/>
        <w:bottom w:val="none" w:sz="0" w:space="0" w:color="auto"/>
        <w:right w:val="none" w:sz="0" w:space="0" w:color="auto"/>
      </w:divBdr>
    </w:div>
    <w:div w:id="80949677">
      <w:bodyDiv w:val="1"/>
      <w:marLeft w:val="0"/>
      <w:marRight w:val="0"/>
      <w:marTop w:val="0"/>
      <w:marBottom w:val="0"/>
      <w:divBdr>
        <w:top w:val="none" w:sz="0" w:space="0" w:color="auto"/>
        <w:left w:val="none" w:sz="0" w:space="0" w:color="auto"/>
        <w:bottom w:val="none" w:sz="0" w:space="0" w:color="auto"/>
        <w:right w:val="none" w:sz="0" w:space="0" w:color="auto"/>
      </w:divBdr>
    </w:div>
    <w:div w:id="432477855">
      <w:bodyDiv w:val="1"/>
      <w:marLeft w:val="0"/>
      <w:marRight w:val="0"/>
      <w:marTop w:val="0"/>
      <w:marBottom w:val="0"/>
      <w:divBdr>
        <w:top w:val="none" w:sz="0" w:space="0" w:color="auto"/>
        <w:left w:val="none" w:sz="0" w:space="0" w:color="auto"/>
        <w:bottom w:val="none" w:sz="0" w:space="0" w:color="auto"/>
        <w:right w:val="none" w:sz="0" w:space="0" w:color="auto"/>
      </w:divBdr>
    </w:div>
    <w:div w:id="703021969">
      <w:bodyDiv w:val="1"/>
      <w:marLeft w:val="0"/>
      <w:marRight w:val="0"/>
      <w:marTop w:val="0"/>
      <w:marBottom w:val="0"/>
      <w:divBdr>
        <w:top w:val="none" w:sz="0" w:space="0" w:color="auto"/>
        <w:left w:val="none" w:sz="0" w:space="0" w:color="auto"/>
        <w:bottom w:val="none" w:sz="0" w:space="0" w:color="auto"/>
        <w:right w:val="none" w:sz="0" w:space="0" w:color="auto"/>
      </w:divBdr>
    </w:div>
    <w:div w:id="713892154">
      <w:bodyDiv w:val="1"/>
      <w:marLeft w:val="0"/>
      <w:marRight w:val="0"/>
      <w:marTop w:val="0"/>
      <w:marBottom w:val="0"/>
      <w:divBdr>
        <w:top w:val="none" w:sz="0" w:space="0" w:color="auto"/>
        <w:left w:val="none" w:sz="0" w:space="0" w:color="auto"/>
        <w:bottom w:val="none" w:sz="0" w:space="0" w:color="auto"/>
        <w:right w:val="none" w:sz="0" w:space="0" w:color="auto"/>
      </w:divBdr>
    </w:div>
    <w:div w:id="939223304">
      <w:bodyDiv w:val="1"/>
      <w:marLeft w:val="0"/>
      <w:marRight w:val="0"/>
      <w:marTop w:val="0"/>
      <w:marBottom w:val="0"/>
      <w:divBdr>
        <w:top w:val="none" w:sz="0" w:space="0" w:color="auto"/>
        <w:left w:val="none" w:sz="0" w:space="0" w:color="auto"/>
        <w:bottom w:val="none" w:sz="0" w:space="0" w:color="auto"/>
        <w:right w:val="none" w:sz="0" w:space="0" w:color="auto"/>
      </w:divBdr>
    </w:div>
    <w:div w:id="1132946538">
      <w:bodyDiv w:val="1"/>
      <w:marLeft w:val="0"/>
      <w:marRight w:val="0"/>
      <w:marTop w:val="0"/>
      <w:marBottom w:val="0"/>
      <w:divBdr>
        <w:top w:val="none" w:sz="0" w:space="0" w:color="auto"/>
        <w:left w:val="none" w:sz="0" w:space="0" w:color="auto"/>
        <w:bottom w:val="none" w:sz="0" w:space="0" w:color="auto"/>
        <w:right w:val="none" w:sz="0" w:space="0" w:color="auto"/>
      </w:divBdr>
    </w:div>
    <w:div w:id="1140725898">
      <w:bodyDiv w:val="1"/>
      <w:marLeft w:val="0"/>
      <w:marRight w:val="0"/>
      <w:marTop w:val="0"/>
      <w:marBottom w:val="0"/>
      <w:divBdr>
        <w:top w:val="none" w:sz="0" w:space="0" w:color="auto"/>
        <w:left w:val="none" w:sz="0" w:space="0" w:color="auto"/>
        <w:bottom w:val="none" w:sz="0" w:space="0" w:color="auto"/>
        <w:right w:val="none" w:sz="0" w:space="0" w:color="auto"/>
      </w:divBdr>
    </w:div>
    <w:div w:id="1168208207">
      <w:bodyDiv w:val="1"/>
      <w:marLeft w:val="0"/>
      <w:marRight w:val="0"/>
      <w:marTop w:val="0"/>
      <w:marBottom w:val="0"/>
      <w:divBdr>
        <w:top w:val="none" w:sz="0" w:space="0" w:color="auto"/>
        <w:left w:val="none" w:sz="0" w:space="0" w:color="auto"/>
        <w:bottom w:val="none" w:sz="0" w:space="0" w:color="auto"/>
        <w:right w:val="none" w:sz="0" w:space="0" w:color="auto"/>
      </w:divBdr>
    </w:div>
    <w:div w:id="1209144980">
      <w:bodyDiv w:val="1"/>
      <w:marLeft w:val="0"/>
      <w:marRight w:val="0"/>
      <w:marTop w:val="0"/>
      <w:marBottom w:val="0"/>
      <w:divBdr>
        <w:top w:val="none" w:sz="0" w:space="0" w:color="auto"/>
        <w:left w:val="none" w:sz="0" w:space="0" w:color="auto"/>
        <w:bottom w:val="none" w:sz="0" w:space="0" w:color="auto"/>
        <w:right w:val="none" w:sz="0" w:space="0" w:color="auto"/>
      </w:divBdr>
    </w:div>
    <w:div w:id="1236359929">
      <w:bodyDiv w:val="1"/>
      <w:marLeft w:val="0"/>
      <w:marRight w:val="0"/>
      <w:marTop w:val="0"/>
      <w:marBottom w:val="0"/>
      <w:divBdr>
        <w:top w:val="none" w:sz="0" w:space="0" w:color="auto"/>
        <w:left w:val="none" w:sz="0" w:space="0" w:color="auto"/>
        <w:bottom w:val="none" w:sz="0" w:space="0" w:color="auto"/>
        <w:right w:val="none" w:sz="0" w:space="0" w:color="auto"/>
      </w:divBdr>
    </w:div>
    <w:div w:id="1464426335">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656493471">
      <w:bodyDiv w:val="1"/>
      <w:marLeft w:val="0"/>
      <w:marRight w:val="0"/>
      <w:marTop w:val="0"/>
      <w:marBottom w:val="0"/>
      <w:divBdr>
        <w:top w:val="none" w:sz="0" w:space="0" w:color="auto"/>
        <w:left w:val="none" w:sz="0" w:space="0" w:color="auto"/>
        <w:bottom w:val="none" w:sz="0" w:space="0" w:color="auto"/>
        <w:right w:val="none" w:sz="0" w:space="0" w:color="auto"/>
      </w:divBdr>
    </w:div>
    <w:div w:id="1686394331">
      <w:bodyDiv w:val="1"/>
      <w:marLeft w:val="0"/>
      <w:marRight w:val="0"/>
      <w:marTop w:val="0"/>
      <w:marBottom w:val="0"/>
      <w:divBdr>
        <w:top w:val="none" w:sz="0" w:space="0" w:color="auto"/>
        <w:left w:val="none" w:sz="0" w:space="0" w:color="auto"/>
        <w:bottom w:val="none" w:sz="0" w:space="0" w:color="auto"/>
        <w:right w:val="none" w:sz="0" w:space="0" w:color="auto"/>
      </w:divBdr>
    </w:div>
    <w:div w:id="1693649172">
      <w:bodyDiv w:val="1"/>
      <w:marLeft w:val="0"/>
      <w:marRight w:val="0"/>
      <w:marTop w:val="0"/>
      <w:marBottom w:val="0"/>
      <w:divBdr>
        <w:top w:val="none" w:sz="0" w:space="0" w:color="auto"/>
        <w:left w:val="none" w:sz="0" w:space="0" w:color="auto"/>
        <w:bottom w:val="none" w:sz="0" w:space="0" w:color="auto"/>
        <w:right w:val="none" w:sz="0" w:space="0" w:color="auto"/>
      </w:divBdr>
    </w:div>
    <w:div w:id="1800492138">
      <w:bodyDiv w:val="1"/>
      <w:marLeft w:val="0"/>
      <w:marRight w:val="0"/>
      <w:marTop w:val="0"/>
      <w:marBottom w:val="0"/>
      <w:divBdr>
        <w:top w:val="none" w:sz="0" w:space="0" w:color="auto"/>
        <w:left w:val="none" w:sz="0" w:space="0" w:color="auto"/>
        <w:bottom w:val="none" w:sz="0" w:space="0" w:color="auto"/>
        <w:right w:val="none" w:sz="0" w:space="0" w:color="auto"/>
      </w:divBdr>
    </w:div>
    <w:div w:id="1822506389">
      <w:bodyDiv w:val="1"/>
      <w:marLeft w:val="0"/>
      <w:marRight w:val="0"/>
      <w:marTop w:val="0"/>
      <w:marBottom w:val="0"/>
      <w:divBdr>
        <w:top w:val="none" w:sz="0" w:space="0" w:color="auto"/>
        <w:left w:val="none" w:sz="0" w:space="0" w:color="auto"/>
        <w:bottom w:val="none" w:sz="0" w:space="0" w:color="auto"/>
        <w:right w:val="none" w:sz="0" w:space="0" w:color="auto"/>
      </w:divBdr>
    </w:div>
    <w:div w:id="1932229180">
      <w:bodyDiv w:val="1"/>
      <w:marLeft w:val="0"/>
      <w:marRight w:val="0"/>
      <w:marTop w:val="0"/>
      <w:marBottom w:val="0"/>
      <w:divBdr>
        <w:top w:val="none" w:sz="0" w:space="0" w:color="auto"/>
        <w:left w:val="none" w:sz="0" w:space="0" w:color="auto"/>
        <w:bottom w:val="none" w:sz="0" w:space="0" w:color="auto"/>
        <w:right w:val="none" w:sz="0" w:space="0" w:color="auto"/>
      </w:divBdr>
    </w:div>
    <w:div w:id="2020236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leankw@piercecolleg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ekelcr@pierce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erseb@piercecollege.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DC33-9D46-4B18-A612-8D577DB7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6281</Words>
  <Characters>35806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Mork, Ngan T</cp:lastModifiedBy>
  <cp:revision>7</cp:revision>
  <cp:lastPrinted>2019-05-14T22:51:00Z</cp:lastPrinted>
  <dcterms:created xsi:type="dcterms:W3CDTF">2019-06-13T19:27:00Z</dcterms:created>
  <dcterms:modified xsi:type="dcterms:W3CDTF">2019-06-13T23:41:00Z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Microsoft® Word 2013</vt:lpwstr>
  </property>
  <property fmtid="{D5CDD505-2E9C-101B-9397-08002B2CF9AE}" pid="4" name="LastSaved">
    <vt:filetime>2019-04-29T00:00:00Z</vt:filetime>
  </property>
</Properties>
</file>